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57" w:rsidRDefault="00A77357" w:rsidP="00A77357">
      <w:pPr>
        <w:jc w:val="center"/>
        <w:rPr>
          <w:rFonts w:ascii="Times New Roman" w:hAnsi="Times New Roman"/>
          <w:b/>
          <w:sz w:val="24"/>
          <w:szCs w:val="24"/>
        </w:rPr>
      </w:pPr>
      <w:r>
        <w:rPr>
          <w:rFonts w:ascii="Times New Roman" w:hAnsi="Times New Roman"/>
          <w:b/>
          <w:sz w:val="24"/>
          <w:szCs w:val="24"/>
        </w:rPr>
        <w:t>P ř í l o h a</w:t>
      </w:r>
    </w:p>
    <w:p w:rsidR="00A77357" w:rsidRDefault="00A77357" w:rsidP="00A77357">
      <w:pPr>
        <w:ind w:left="2832" w:hanging="2832"/>
        <w:jc w:val="center"/>
        <w:rPr>
          <w:rFonts w:ascii="Times New Roman" w:hAnsi="Times New Roman"/>
          <w:b/>
          <w:sz w:val="24"/>
        </w:rPr>
      </w:pPr>
    </w:p>
    <w:p w:rsidR="00A77357" w:rsidRDefault="00A77357" w:rsidP="00A77357">
      <w:pPr>
        <w:pStyle w:val="Zkladntext"/>
        <w:jc w:val="center"/>
        <w:rPr>
          <w:b/>
        </w:rPr>
      </w:pPr>
      <w:r>
        <w:rPr>
          <w:b/>
        </w:rPr>
        <w:t xml:space="preserve">k usnesení Rady městské části Praha 4 č. 6R-121/2015  ze </w:t>
      </w:r>
      <w:r w:rsidRPr="002D5AB8">
        <w:rPr>
          <w:b/>
        </w:rPr>
        <w:t xml:space="preserve">dne </w:t>
      </w:r>
      <w:r>
        <w:rPr>
          <w:b/>
        </w:rPr>
        <w:t>20. 2. 2015</w:t>
      </w:r>
    </w:p>
    <w:p w:rsidR="00A77357" w:rsidRDefault="00A77357" w:rsidP="00A77357">
      <w:pPr>
        <w:rPr>
          <w:rFonts w:ascii="Times New Roman" w:hAnsi="Times New Roman"/>
          <w:b/>
          <w:sz w:val="24"/>
          <w:szCs w:val="24"/>
        </w:rPr>
      </w:pPr>
      <w:r>
        <w:rPr>
          <w:rFonts w:ascii="Times New Roman" w:hAnsi="Times New Roman"/>
          <w:sz w:val="24"/>
        </w:rPr>
        <w:t>-----------------------------------------------------------------------------------------------------------------</w:t>
      </w:r>
    </w:p>
    <w:p w:rsidR="00A77357" w:rsidRDefault="00A77357" w:rsidP="00A77357">
      <w:pPr>
        <w:jc w:val="center"/>
        <w:rPr>
          <w:rFonts w:ascii="Times New Roman" w:hAnsi="Times New Roman"/>
          <w:b/>
          <w:sz w:val="28"/>
          <w:szCs w:val="28"/>
        </w:rPr>
      </w:pPr>
    </w:p>
    <w:p w:rsidR="00A77357" w:rsidRPr="00FC615E" w:rsidRDefault="00A77357" w:rsidP="00A77357">
      <w:pPr>
        <w:jc w:val="center"/>
        <w:rPr>
          <w:rFonts w:ascii="Times New Roman" w:hAnsi="Times New Roman"/>
          <w:b/>
          <w:sz w:val="28"/>
          <w:szCs w:val="28"/>
        </w:rPr>
      </w:pPr>
      <w:r w:rsidRPr="00FC615E">
        <w:rPr>
          <w:rFonts w:ascii="Times New Roman" w:hAnsi="Times New Roman"/>
          <w:b/>
          <w:sz w:val="28"/>
          <w:szCs w:val="28"/>
        </w:rPr>
        <w:t>Smlouva o výpůjčce</w:t>
      </w:r>
    </w:p>
    <w:p w:rsidR="00A77357" w:rsidRPr="00FC615E" w:rsidRDefault="00A77357" w:rsidP="00A77357">
      <w:pPr>
        <w:jc w:val="center"/>
        <w:rPr>
          <w:rFonts w:ascii="Times New Roman" w:hAnsi="Times New Roman"/>
          <w:sz w:val="22"/>
          <w:szCs w:val="22"/>
        </w:rPr>
      </w:pPr>
      <w:r w:rsidRPr="00FC615E">
        <w:rPr>
          <w:rFonts w:ascii="Times New Roman" w:hAnsi="Times New Roman"/>
          <w:sz w:val="22"/>
          <w:szCs w:val="22"/>
        </w:rPr>
        <w:t>uzavřená na základě uzavřené Smlouvy o výpůjčce mezi Hlavním městem Praha a Městskou částí Praha 4 č.VYP/83/10/009172/2013 a usnesením Rady městské části Praha 4 č. 6R/</w:t>
      </w:r>
      <w:r>
        <w:rPr>
          <w:rFonts w:ascii="Times New Roman" w:hAnsi="Times New Roman"/>
          <w:sz w:val="22"/>
          <w:szCs w:val="22"/>
        </w:rPr>
        <w:t>121</w:t>
      </w:r>
      <w:r w:rsidRPr="00FC615E">
        <w:rPr>
          <w:rFonts w:ascii="Times New Roman" w:hAnsi="Times New Roman"/>
          <w:sz w:val="22"/>
          <w:szCs w:val="22"/>
        </w:rPr>
        <w:t xml:space="preserve">/2015 </w:t>
      </w:r>
      <w:r>
        <w:rPr>
          <w:rFonts w:ascii="Times New Roman" w:hAnsi="Times New Roman"/>
          <w:sz w:val="22"/>
          <w:szCs w:val="22"/>
        </w:rPr>
        <w:br/>
      </w:r>
      <w:r w:rsidRPr="00FC615E">
        <w:rPr>
          <w:rFonts w:ascii="Times New Roman" w:hAnsi="Times New Roman"/>
          <w:sz w:val="22"/>
          <w:szCs w:val="22"/>
        </w:rPr>
        <w:t>ze dne 20.</w:t>
      </w:r>
      <w:r>
        <w:rPr>
          <w:rFonts w:ascii="Times New Roman" w:hAnsi="Times New Roman"/>
          <w:sz w:val="22"/>
          <w:szCs w:val="22"/>
        </w:rPr>
        <w:t xml:space="preserve"> </w:t>
      </w:r>
      <w:r w:rsidRPr="00FC615E">
        <w:rPr>
          <w:rFonts w:ascii="Times New Roman" w:hAnsi="Times New Roman"/>
          <w:sz w:val="22"/>
          <w:szCs w:val="22"/>
        </w:rPr>
        <w:t>2.</w:t>
      </w:r>
      <w:r>
        <w:rPr>
          <w:rFonts w:ascii="Times New Roman" w:hAnsi="Times New Roman"/>
          <w:sz w:val="22"/>
          <w:szCs w:val="22"/>
        </w:rPr>
        <w:t xml:space="preserve"> 2015</w:t>
      </w:r>
    </w:p>
    <w:p w:rsidR="00A77357" w:rsidRPr="00FC615E" w:rsidRDefault="00A77357" w:rsidP="00A77357">
      <w:pPr>
        <w:tabs>
          <w:tab w:val="left" w:pos="3195"/>
        </w:tabs>
        <w:jc w:val="both"/>
        <w:rPr>
          <w:rFonts w:ascii="Times New Roman" w:hAnsi="Times New Roman"/>
          <w:b/>
          <w:sz w:val="24"/>
          <w:szCs w:val="24"/>
        </w:rPr>
      </w:pPr>
      <w:r w:rsidRPr="00FC615E">
        <w:rPr>
          <w:rFonts w:ascii="Times New Roman" w:hAnsi="Times New Roman"/>
          <w:b/>
          <w:sz w:val="24"/>
          <w:szCs w:val="24"/>
        </w:rPr>
        <w:tab/>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Městská část Praha 4</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zastoupená Mgr. Petrem Štěpánkem, CSc.,</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starostou městské části</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se sídlem ul.Antala Staška 2059/80b, Praha 4, 140 46</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IČ: 00063584</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(dále jen půjčitel)</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a</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i/>
          <w:sz w:val="24"/>
          <w:szCs w:val="24"/>
        </w:rPr>
      </w:pPr>
      <w:r w:rsidRPr="00FC615E">
        <w:rPr>
          <w:rFonts w:ascii="Times New Roman" w:hAnsi="Times New Roman"/>
          <w:sz w:val="24"/>
          <w:szCs w:val="24"/>
        </w:rPr>
        <w:t>Společenství vlastníků jednotek Michle čp. 1205 a 1206</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se sídlem Batelovská 1205, Praha 4-Michle, PSČ 140 00</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zastoupené Ing. Bohuslavem Sychrou, předsedou výboru</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 xml:space="preserve">                            Petrou Kuncovou, členkou výboru</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IČ26453282</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a</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Ing. Karel Čech, pověřený spoluvlastník domu Batelovská 120/5, Praha 4, PSČ 140 00</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bytem Husova 1282/15, Čelákovice, PSČ 25088</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pověřen na základě plné moci  (viz příloha)</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(dále jen vypůjčitelé)</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uzavírají následující smlouvu dle ustanovení § 2193 a násl. zákona 89/2012 Sb. (občanský zákoník):</w:t>
      </w:r>
    </w:p>
    <w:p w:rsidR="00A77357" w:rsidRDefault="00A77357" w:rsidP="00A77357">
      <w:pPr>
        <w:ind w:left="2124" w:firstLine="708"/>
        <w:rPr>
          <w:rFonts w:ascii="Times New Roman" w:hAnsi="Times New Roman"/>
          <w:b/>
          <w:sz w:val="24"/>
          <w:szCs w:val="24"/>
        </w:rPr>
      </w:pPr>
    </w:p>
    <w:p w:rsidR="00A77357" w:rsidRPr="00FC615E" w:rsidRDefault="00A77357" w:rsidP="00A77357">
      <w:pPr>
        <w:ind w:left="2124" w:firstLine="708"/>
        <w:rPr>
          <w:rFonts w:ascii="Times New Roman" w:hAnsi="Times New Roman"/>
          <w:b/>
          <w:sz w:val="24"/>
          <w:szCs w:val="24"/>
        </w:rPr>
      </w:pPr>
      <w:r w:rsidRPr="00FC615E">
        <w:rPr>
          <w:rFonts w:ascii="Times New Roman" w:hAnsi="Times New Roman"/>
          <w:b/>
          <w:sz w:val="24"/>
          <w:szCs w:val="24"/>
        </w:rPr>
        <w:t>I. Předmět smlouvy a účel výpůjčky</w:t>
      </w:r>
    </w:p>
    <w:p w:rsidR="00A77357" w:rsidRPr="00FC615E" w:rsidRDefault="00A77357" w:rsidP="00A77357">
      <w:pPr>
        <w:numPr>
          <w:ilvl w:val="1"/>
          <w:numId w:val="2"/>
        </w:numPr>
        <w:jc w:val="both"/>
        <w:rPr>
          <w:rFonts w:ascii="Times New Roman" w:hAnsi="Times New Roman"/>
          <w:sz w:val="24"/>
          <w:szCs w:val="24"/>
        </w:rPr>
      </w:pPr>
      <w:r w:rsidRPr="00FC615E">
        <w:rPr>
          <w:rFonts w:ascii="Times New Roman" w:hAnsi="Times New Roman"/>
          <w:sz w:val="24"/>
          <w:szCs w:val="24"/>
        </w:rPr>
        <w:t>Předmětem této smlouvy je bezplatné užívání následující věci:</w:t>
      </w:r>
    </w:p>
    <w:p w:rsidR="00A77357" w:rsidRPr="00FC615E" w:rsidRDefault="00A77357" w:rsidP="00A77357">
      <w:pPr>
        <w:ind w:left="360"/>
        <w:jc w:val="both"/>
        <w:rPr>
          <w:rFonts w:ascii="Times New Roman" w:hAnsi="Times New Roman"/>
          <w:sz w:val="24"/>
          <w:szCs w:val="24"/>
        </w:rPr>
      </w:pPr>
      <w:r w:rsidRPr="00FC615E">
        <w:rPr>
          <w:rFonts w:ascii="Times New Roman" w:hAnsi="Times New Roman"/>
          <w:sz w:val="24"/>
          <w:szCs w:val="24"/>
        </w:rPr>
        <w:t>- část pozemku parc. č. 310/146 v k.ú. Michle o ploše 11 m²,  vymezená v plánku, který tvoří přílohu a nedílnou součást této smlouvy  (dále jen předmět výpůjčky)</w:t>
      </w:r>
    </w:p>
    <w:p w:rsidR="00A77357" w:rsidRPr="00FC615E" w:rsidRDefault="00A77357" w:rsidP="00A77357">
      <w:pPr>
        <w:ind w:left="360"/>
        <w:jc w:val="both"/>
        <w:rPr>
          <w:rFonts w:ascii="Times New Roman" w:hAnsi="Times New Roman"/>
          <w:sz w:val="24"/>
          <w:szCs w:val="24"/>
        </w:rPr>
      </w:pPr>
      <w:r w:rsidRPr="00FC615E">
        <w:rPr>
          <w:rFonts w:ascii="Times New Roman" w:hAnsi="Times New Roman"/>
          <w:sz w:val="24"/>
          <w:szCs w:val="24"/>
        </w:rPr>
        <w:t>bude sloužit vypůjčitelům po dobu užívání předmětu výpůjčky jako kontejnerové stání pro domy č.p 1205 - 1206 a dům čp.120/5 v ulici Batelovská, Praha 4.</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Předmět výpůjčky bude vypůjčitelům sloužit k následujícímu účelu: revitalizace stávajících kontejnerových stání na odpadky a následné zajištění řádného užívání těchto kontejnerových stání..</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 xml:space="preserve">1.2. Vypůjčitelé jsou oprávněni užívat předmět výpůjčky pouze k účelu uvedenému v článku 1.1. této smlouvy. Sjednané právo užívání předmětu výpůjčky je nepřevoditelné na jiné subjekty, rovněž je nepřípustné užívání předmětu výpůjčky k jinému účelu než v této smlouvě sjednanému, Pokud vypůjčitelé poruší tuto svou povinnost, je povinen zaplatit půjčiteli </w:t>
      </w:r>
      <w:r w:rsidRPr="00FC615E">
        <w:rPr>
          <w:rFonts w:ascii="Times New Roman" w:hAnsi="Times New Roman"/>
          <w:sz w:val="24"/>
          <w:szCs w:val="24"/>
        </w:rPr>
        <w:lastRenderedPageBreak/>
        <w:t>smluvní pokutu ve výši 500,- Kč denně do odstranění závadného stavu nezávisle na tom, zda a v jaké výši vznikne půjčiteli v této souvislosti škoda, kterou lze vymáhat samostatně.</w:t>
      </w:r>
    </w:p>
    <w:p w:rsidR="00A77357" w:rsidRDefault="00A77357" w:rsidP="00A77357">
      <w:pPr>
        <w:ind w:left="2124" w:firstLine="708"/>
        <w:rPr>
          <w:rFonts w:ascii="Times New Roman" w:hAnsi="Times New Roman"/>
          <w:b/>
          <w:sz w:val="24"/>
          <w:szCs w:val="24"/>
        </w:rPr>
      </w:pPr>
    </w:p>
    <w:p w:rsidR="00A77357" w:rsidRPr="00FC615E" w:rsidRDefault="00A77357" w:rsidP="00A77357">
      <w:pPr>
        <w:ind w:left="2124" w:firstLine="708"/>
        <w:rPr>
          <w:rFonts w:ascii="Times New Roman" w:hAnsi="Times New Roman"/>
          <w:b/>
          <w:sz w:val="24"/>
          <w:szCs w:val="24"/>
        </w:rPr>
      </w:pPr>
      <w:r w:rsidRPr="00FC615E">
        <w:rPr>
          <w:rFonts w:ascii="Times New Roman" w:hAnsi="Times New Roman"/>
          <w:b/>
          <w:sz w:val="24"/>
          <w:szCs w:val="24"/>
        </w:rPr>
        <w:t>II. Povinnosti vypůjčitele</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2.1. Vypůjčitelé jsou povinni užívat předmět výpůjčky řádně a v souladu s účelem, který je ve smlouvě dohodnut. Užívat řádně znamená, že vypůjčitelé budou udržovat pořádek uvnitř předmětu výpůjčky. Vypůčitelé odpovídají za poškození nebo zničení předmětu výpůjčky a jsou povinni každou takto vzniklou škodu neprodleně oznámit půjčiteli a ihned ji odstranit uvedením do původního stavu, popř. peněžitým plněním, pokud nebude výslovně písemně smluvními stranami dohodnuto jinak. Pokud vypůjčitelé poruší tuto svou povinnost, jsou povinni zaplatit půjčiteli smluvní pokutu ve výši 3000,- Kč.</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2.2. Vypůjčitelé jsou povinni k údržbě předmětu výpůjčky bez nároku na náhradu nákladů s tím spojených. Pokud bude stav předmětu výpůjčky vyžadovat jakýkoliv odborný, technický zásah, musí ho vypůjčitelé nejprve konzultovat s půjčitelem a teprve s půjčitelovým výslovným a písemným svolením ho můžou nechat provést odborně způsobilému zhotoviteli, náklady nesou vypůjčitelé, pokud nebude výslovně písemně smluvními stranami dohodnuto jinak. Vypůjčitelé jsou povinni na předmětu výpůjčky dodržovat vyhlášku hl.m. Prahy o čistotě v hl.m. Praze  a zákon a zákon č. 13/1997 Sb. o pozemních komunikacích ve znění pozdějších předpisů.</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2.3. Vypůjčitelé jsou povinni mít kontejnery na odpadky uvnitř kontejnerového stání a toto kontejnerové stání zabezpečit na vlastní náklady takovým způsobem, aby dovnitř mohli vstupovat pouze jeho uživatelé bydlící v domech uvedených v čl. I. odst. 1.1. této smlouvy a pracovníci odvozu odpadků. Zabezpečením kontejnerového stání se rozumí osazení kovové uzamykatelné klecové konstrukce na plochu kontejnerového stání do 60ti dnů od provedení úpravy plochy kontejnerového stání a obvodových stěn, pokud je jimi kontejnerové stání vybaveno. Pokud vypůjčitelé poruší tuto svou povinnost, tj. nezabezpečí shora uvedeným způsobem kontejnerové stání v uvedené lhůtě, jsou povinni zaplatit půjčiteli smluvní pokutu ve výši 500,- Kč denně ode dne doručení písemného oznámení závadného stavu vypůjčitelům až do odstranění závadného stavu.</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 xml:space="preserve">2.4. Půjčitel se zavazuje k opravě či k úpravě plochy pro kontejnerové stání, bude-li to třeba, a to na vlastní náklady. </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2.5. Vypůjčitelé se zavazují, že na žádost půjčitele umožní přístup půjčiteli k předmětu výpůjčky za účelem kontroly, zda vypůjčitelé užívají předmět výpůjčky řádným způsobem. V případě nutné kontroly i za jeho nepřítomnosti.</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2.6. Smluvní strany sepíší o předání a převzetí předmětu výpůjčky předávací protokol, který bude obsahovat zejména popis předmětu výpůjčky, prohlášení smluvních stran, že předmět výpůjčky je půjčitelem předán a vypůjčiteli převzat ve stavu způsobilém k řádnému užívání za účelem dohodnutým v této smlouvě o výpůjčce, podpisy odpovědných zástupců všech smluvních stran, datum předání a převzetí předmětu výpůjčky. Předávací protokol o stejném obsahu, případně s výčtem drobných a používání věci nebránících závad a s termínem jejich odstranění vypůjčiteli bude sepsán i při ukončení smluvního vztahu a osvědčuje řádné splnění povinností vypůjčitele, zejména dle čl. 3.4. této smlouvy. Půjčitel však není povinen předmět výpůjčky se závadami převzít a vypůjčitel je v takovém případě v prodlení se splněním svého závazku, obdobně jako když není předávací protokol sepsán vůbec.</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p>
    <w:p w:rsidR="00A77357" w:rsidRPr="00FC615E" w:rsidRDefault="00A77357" w:rsidP="00A77357">
      <w:pPr>
        <w:ind w:left="2124" w:firstLine="708"/>
        <w:rPr>
          <w:rFonts w:ascii="Times New Roman" w:hAnsi="Times New Roman"/>
          <w:b/>
          <w:sz w:val="24"/>
          <w:szCs w:val="24"/>
        </w:rPr>
      </w:pPr>
      <w:r w:rsidRPr="00FC615E">
        <w:rPr>
          <w:rFonts w:ascii="Times New Roman" w:hAnsi="Times New Roman"/>
          <w:b/>
          <w:sz w:val="24"/>
          <w:szCs w:val="24"/>
        </w:rPr>
        <w:t>III. Doba výpůjčky a ukončení smlouvy</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3.1. Tato smlouva se uzavírá na dobu určitou, a to do 31.5.2018, s možným prodloužením její platnosti a účinnosti na dalších pět let na základě písemné žádosti vypůjčitele.</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3.2. Smluvní vztah výpůjčky zaniká:</w:t>
      </w:r>
    </w:p>
    <w:p w:rsidR="00A77357" w:rsidRPr="00FC615E" w:rsidRDefault="00A77357" w:rsidP="00A77357">
      <w:pPr>
        <w:numPr>
          <w:ilvl w:val="0"/>
          <w:numId w:val="1"/>
        </w:numPr>
        <w:jc w:val="both"/>
        <w:rPr>
          <w:rFonts w:ascii="Times New Roman" w:hAnsi="Times New Roman"/>
          <w:sz w:val="24"/>
          <w:szCs w:val="24"/>
        </w:rPr>
      </w:pPr>
      <w:r w:rsidRPr="00FC615E">
        <w:rPr>
          <w:rFonts w:ascii="Times New Roman" w:hAnsi="Times New Roman"/>
          <w:sz w:val="24"/>
          <w:szCs w:val="24"/>
        </w:rPr>
        <w:t>uplynutím doby, na níž je sjednán a nebude-li písemně ujednáno další prodloužení</w:t>
      </w:r>
    </w:p>
    <w:p w:rsidR="00A77357" w:rsidRPr="00FC615E" w:rsidRDefault="00A77357" w:rsidP="00A77357">
      <w:pPr>
        <w:numPr>
          <w:ilvl w:val="0"/>
          <w:numId w:val="1"/>
        </w:numPr>
        <w:jc w:val="both"/>
        <w:rPr>
          <w:rFonts w:ascii="Times New Roman" w:hAnsi="Times New Roman"/>
          <w:sz w:val="24"/>
          <w:szCs w:val="24"/>
        </w:rPr>
      </w:pPr>
      <w:r w:rsidRPr="00FC615E">
        <w:rPr>
          <w:rFonts w:ascii="Times New Roman" w:hAnsi="Times New Roman"/>
          <w:sz w:val="24"/>
          <w:szCs w:val="24"/>
        </w:rPr>
        <w:t>dohodou smluvních stran</w:t>
      </w:r>
    </w:p>
    <w:p w:rsidR="00A77357" w:rsidRPr="00FC615E" w:rsidRDefault="00A77357" w:rsidP="00A77357">
      <w:pPr>
        <w:numPr>
          <w:ilvl w:val="0"/>
          <w:numId w:val="1"/>
        </w:numPr>
        <w:jc w:val="both"/>
        <w:rPr>
          <w:rFonts w:ascii="Times New Roman" w:hAnsi="Times New Roman"/>
          <w:sz w:val="24"/>
          <w:szCs w:val="24"/>
        </w:rPr>
      </w:pPr>
      <w:r w:rsidRPr="00FC615E">
        <w:rPr>
          <w:rFonts w:ascii="Times New Roman" w:hAnsi="Times New Roman"/>
          <w:sz w:val="24"/>
          <w:szCs w:val="24"/>
        </w:rPr>
        <w:t>doručením písemné výzvy půjčitele vypůjčiteli k vrácení předmětu výpůjčky, užil-li vypůjčitel předmět výpůjčky v rozporu s touto smlouvou</w:t>
      </w:r>
    </w:p>
    <w:p w:rsidR="00A77357" w:rsidRPr="00FC615E" w:rsidRDefault="00A77357" w:rsidP="00A77357">
      <w:pPr>
        <w:numPr>
          <w:ilvl w:val="0"/>
          <w:numId w:val="1"/>
        </w:numPr>
        <w:jc w:val="both"/>
        <w:rPr>
          <w:rFonts w:ascii="Times New Roman" w:hAnsi="Times New Roman"/>
          <w:sz w:val="24"/>
          <w:szCs w:val="24"/>
        </w:rPr>
      </w:pPr>
      <w:r w:rsidRPr="00FC615E">
        <w:rPr>
          <w:rFonts w:ascii="Times New Roman" w:hAnsi="Times New Roman"/>
          <w:sz w:val="24"/>
          <w:szCs w:val="24"/>
        </w:rPr>
        <w:t>předčasným vrácením předmětu výpůjčky vypůjčitlem půjčiteli.</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3.3. Půjčitel může od smlouvy odstoupit zejména, pokud vypůjčitel předmět výpůjčky neužívá řádně, nebo jej užívá v rozporu s účelem, pro který byl zapůjčen, či poruší kteroukoliv z jejich povinností uvedených v článcích 1.2., 2.1., 2.2., 2.3.,  2.5. této smlouvy.</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3.4. Po ukončení smluvního vztahu je vypůjčitel povinen do 15ti dnů po tomto ukončení vrátit vyklizený předmět výpůjčky. Pokud tuto povinnost nesplní, je povinen platit smluvní pokutu ve výši 500,- Kč denně, nezávisle na tom, zda a v jaké výši vznikne půjčiteli škoda, kterou lze vymáhat samostatně.</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3.5. Smluvní strany se výslovně shodly na tomto způsobu doručování: 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účastníkovi tohoto smluvního vztahu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A77357" w:rsidRDefault="00A77357" w:rsidP="00A77357">
      <w:pPr>
        <w:jc w:val="both"/>
        <w:rPr>
          <w:rFonts w:ascii="Times New Roman" w:hAnsi="Times New Roman"/>
          <w:b/>
          <w:sz w:val="24"/>
          <w:szCs w:val="24"/>
        </w:rPr>
      </w:pPr>
    </w:p>
    <w:p w:rsidR="00A77357" w:rsidRPr="00FC615E" w:rsidRDefault="00A77357" w:rsidP="00A77357">
      <w:pPr>
        <w:jc w:val="center"/>
        <w:rPr>
          <w:rFonts w:ascii="Times New Roman" w:hAnsi="Times New Roman"/>
          <w:sz w:val="24"/>
          <w:szCs w:val="24"/>
        </w:rPr>
      </w:pPr>
      <w:r w:rsidRPr="00FC615E">
        <w:rPr>
          <w:rFonts w:ascii="Times New Roman" w:hAnsi="Times New Roman"/>
          <w:b/>
          <w:sz w:val="24"/>
          <w:szCs w:val="24"/>
        </w:rPr>
        <w:t>IV. Závěrečná ustanovení</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4.1. Smluvní strany prohlašují, že si tuto smlouvu přečetly, jejímu obsahu rozumí, a že tato smlouva je sepsána určitě, svobodně a vážně, nikoli v tísni za nápadně nevýhodných podmínek, což stvrzují níže svými podpisy</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4.2. Tato smlouva nabývá platnosti a účinnosti dnem jejího podpisu všemi smluvními stranami a uzavírá se na dobu do 31.5.2018, s možným prodloužením její platnosti a účinnosti na dalších pět let, na základě písemné žádosti vypůjčitele.</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4.3. Tato smlouva je vyhotovena v šesti (6) stejnopisech s platností originálu, z nichž každá strana obdržela tři (3) výtisky.</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V Praze dne:</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                                                                        …………………….</w:t>
      </w: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 xml:space="preserve">      půjčitel                                                                                                     vypůjčitel </w:t>
      </w:r>
    </w:p>
    <w:p w:rsidR="00A77357" w:rsidRPr="00FC615E" w:rsidRDefault="00A77357" w:rsidP="00A77357">
      <w:pPr>
        <w:jc w:val="both"/>
        <w:rPr>
          <w:rFonts w:ascii="Times New Roman" w:hAnsi="Times New Roman"/>
          <w:sz w:val="24"/>
          <w:szCs w:val="24"/>
        </w:rPr>
      </w:pPr>
    </w:p>
    <w:p w:rsidR="00A77357" w:rsidRPr="00FC615E" w:rsidRDefault="00A77357" w:rsidP="00A77357">
      <w:pPr>
        <w:jc w:val="both"/>
        <w:rPr>
          <w:rFonts w:ascii="Times New Roman" w:hAnsi="Times New Roman"/>
          <w:sz w:val="24"/>
          <w:szCs w:val="24"/>
        </w:rPr>
      </w:pPr>
      <w:r w:rsidRPr="00FC615E">
        <w:rPr>
          <w:rFonts w:ascii="Times New Roman" w:hAnsi="Times New Roman"/>
          <w:sz w:val="24"/>
          <w:szCs w:val="24"/>
        </w:rPr>
        <w:t xml:space="preserve">                                                                                                              </w:t>
      </w:r>
    </w:p>
    <w:p w:rsidR="00A77357" w:rsidRPr="00FC615E" w:rsidRDefault="00A77357" w:rsidP="00A77357">
      <w:pPr>
        <w:jc w:val="both"/>
        <w:rPr>
          <w:rFonts w:ascii="Times New Roman" w:hAnsi="Times New Roman"/>
          <w:sz w:val="24"/>
          <w:szCs w:val="24"/>
        </w:rPr>
      </w:pPr>
    </w:p>
    <w:p w:rsidR="00884DA2" w:rsidRDefault="00884DA2"/>
    <w:sectPr w:rsidR="00884DA2" w:rsidSect="00534DEA">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57" w:rsidRDefault="00A77357" w:rsidP="00A77357">
      <w:r>
        <w:separator/>
      </w:r>
    </w:p>
  </w:endnote>
  <w:endnote w:type="continuationSeparator" w:id="0">
    <w:p w:rsidR="00A77357" w:rsidRDefault="00A77357" w:rsidP="00A7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57" w:rsidRDefault="00A773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A77357">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r>
      <w:rPr>
        <w:snapToGrid w:val="0"/>
      </w:rPr>
      <w:t xml:space="preserve"> (celkem </w:t>
    </w:r>
    <w:r>
      <w:rPr>
        <w:snapToGrid w:val="0"/>
      </w:rPr>
      <w:t>4</w:t>
    </w:r>
    <w:r>
      <w:rPr>
        <w:snapToGrid w:val="0"/>
      </w:rPr>
      <w:t>)</w:t>
    </w:r>
  </w:p>
  <w:p w:rsidR="00960C0E" w:rsidRDefault="00A77357">
    <w:pPr>
      <w:pStyle w:val="Zpat"/>
      <w:jc w:val="right"/>
    </w:pPr>
    <w:r>
      <w:t xml:space="preserve">usnesení č. </w:t>
    </w:r>
    <w:r>
      <w:t>6</w:t>
    </w:r>
    <w:r>
      <w:t>R-</w:t>
    </w:r>
    <w:r>
      <w:t>121</w:t>
    </w:r>
    <w:r>
      <w:t>/20</w:t>
    </w:r>
    <w:r>
      <w:t>1</w:t>
    </w: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A77357">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(celkem </w:t>
    </w:r>
    <w:r>
      <w:rPr>
        <w:snapToGrid w:val="0"/>
      </w:rPr>
      <w:t>4</w:t>
    </w:r>
    <w:r>
      <w:rPr>
        <w:snapToGrid w:val="0"/>
      </w:rPr>
      <w:t>)</w:t>
    </w:r>
  </w:p>
  <w:p w:rsidR="00960C0E" w:rsidRDefault="00A77357">
    <w:pPr>
      <w:pStyle w:val="Zpat"/>
      <w:jc w:val="right"/>
    </w:pPr>
    <w:r>
      <w:t>usnesení č.</w:t>
    </w:r>
    <w:r>
      <w:t xml:space="preserve"> </w:t>
    </w:r>
    <w:r>
      <w:t>6</w:t>
    </w:r>
    <w:r>
      <w:t>R-</w:t>
    </w:r>
    <w:r>
      <w:t>121</w:t>
    </w:r>
    <w:r>
      <w:t>/20</w:t>
    </w:r>
    <w:r>
      <w:t>1</w:t>
    </w: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57" w:rsidRDefault="00A77357" w:rsidP="00A77357">
      <w:r>
        <w:separator/>
      </w:r>
    </w:p>
  </w:footnote>
  <w:footnote w:type="continuationSeparator" w:id="0">
    <w:p w:rsidR="00A77357" w:rsidRDefault="00A77357" w:rsidP="00A7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57" w:rsidRDefault="00A773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57" w:rsidRDefault="00A7735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A77357">
    <w:pPr>
      <w:framePr w:hSpace="141" w:wrap="around" w:vAnchor="text" w:hAnchor="page" w:x="5532" w:y="1"/>
      <w:jc w:val="center"/>
    </w:pPr>
    <w:bookmarkStart w:id="0" w:name="_GoBack"/>
    <w:bookmarkEnd w:id="0"/>
  </w:p>
  <w:p w:rsidR="00960C0E" w:rsidRDefault="00A77357"/>
  <w:p w:rsidR="00960C0E" w:rsidRDefault="00A773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ED8"/>
    <w:multiLevelType w:val="singleLevel"/>
    <w:tmpl w:val="9C722C7C"/>
    <w:lvl w:ilvl="0">
      <w:start w:val="1"/>
      <w:numFmt w:val="lowerLetter"/>
      <w:lvlText w:val="%1)"/>
      <w:lvlJc w:val="left"/>
      <w:pPr>
        <w:tabs>
          <w:tab w:val="num" w:pos="780"/>
        </w:tabs>
        <w:ind w:left="780" w:hanging="360"/>
      </w:pPr>
      <w:rPr>
        <w:rFonts w:hint="default"/>
      </w:rPr>
    </w:lvl>
  </w:abstractNum>
  <w:abstractNum w:abstractNumId="1">
    <w:nsid w:val="347E0A45"/>
    <w:multiLevelType w:val="multilevel"/>
    <w:tmpl w:val="6C2EAE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57"/>
    <w:rsid w:val="00884DA2"/>
    <w:rsid w:val="00A77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7357"/>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77357"/>
    <w:pPr>
      <w:tabs>
        <w:tab w:val="center" w:pos="4536"/>
        <w:tab w:val="right" w:pos="9072"/>
      </w:tabs>
    </w:pPr>
  </w:style>
  <w:style w:type="character" w:customStyle="1" w:styleId="ZpatChar">
    <w:name w:val="Zápatí Char"/>
    <w:basedOn w:val="Standardnpsmoodstavce"/>
    <w:link w:val="Zpat"/>
    <w:rsid w:val="00A77357"/>
    <w:rPr>
      <w:rFonts w:ascii="Arial" w:eastAsia="Arial" w:hAnsi="Arial" w:cs="Times New Roman"/>
      <w:sz w:val="20"/>
      <w:szCs w:val="20"/>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A77357"/>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basedOn w:val="Standardnpsmoodstavce"/>
    <w:link w:val="Zkladntext"/>
    <w:rsid w:val="00A77357"/>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77357"/>
    <w:rPr>
      <w:rFonts w:ascii="Tahoma" w:hAnsi="Tahoma" w:cs="Tahoma"/>
      <w:sz w:val="16"/>
      <w:szCs w:val="16"/>
    </w:rPr>
  </w:style>
  <w:style w:type="character" w:customStyle="1" w:styleId="TextbublinyChar">
    <w:name w:val="Text bubliny Char"/>
    <w:basedOn w:val="Standardnpsmoodstavce"/>
    <w:link w:val="Textbubliny"/>
    <w:uiPriority w:val="99"/>
    <w:semiHidden/>
    <w:rsid w:val="00A77357"/>
    <w:rPr>
      <w:rFonts w:ascii="Tahoma" w:eastAsia="Arial" w:hAnsi="Tahoma" w:cs="Tahoma"/>
      <w:sz w:val="16"/>
      <w:szCs w:val="16"/>
      <w:lang w:eastAsia="cs-CZ"/>
    </w:rPr>
  </w:style>
  <w:style w:type="paragraph" w:styleId="Zhlav">
    <w:name w:val="header"/>
    <w:basedOn w:val="Normln"/>
    <w:link w:val="ZhlavChar"/>
    <w:uiPriority w:val="99"/>
    <w:unhideWhenUsed/>
    <w:rsid w:val="00A77357"/>
    <w:pPr>
      <w:tabs>
        <w:tab w:val="center" w:pos="4536"/>
        <w:tab w:val="right" w:pos="9072"/>
      </w:tabs>
    </w:pPr>
  </w:style>
  <w:style w:type="character" w:customStyle="1" w:styleId="ZhlavChar">
    <w:name w:val="Záhlaví Char"/>
    <w:basedOn w:val="Standardnpsmoodstavce"/>
    <w:link w:val="Zhlav"/>
    <w:uiPriority w:val="99"/>
    <w:rsid w:val="00A77357"/>
    <w:rPr>
      <w:rFonts w:ascii="Arial" w:eastAsia="Arial"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7357"/>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77357"/>
    <w:pPr>
      <w:tabs>
        <w:tab w:val="center" w:pos="4536"/>
        <w:tab w:val="right" w:pos="9072"/>
      </w:tabs>
    </w:pPr>
  </w:style>
  <w:style w:type="character" w:customStyle="1" w:styleId="ZpatChar">
    <w:name w:val="Zápatí Char"/>
    <w:basedOn w:val="Standardnpsmoodstavce"/>
    <w:link w:val="Zpat"/>
    <w:rsid w:val="00A77357"/>
    <w:rPr>
      <w:rFonts w:ascii="Arial" w:eastAsia="Arial" w:hAnsi="Arial" w:cs="Times New Roman"/>
      <w:sz w:val="20"/>
      <w:szCs w:val="20"/>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A77357"/>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basedOn w:val="Standardnpsmoodstavce"/>
    <w:link w:val="Zkladntext"/>
    <w:rsid w:val="00A77357"/>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77357"/>
    <w:rPr>
      <w:rFonts w:ascii="Tahoma" w:hAnsi="Tahoma" w:cs="Tahoma"/>
      <w:sz w:val="16"/>
      <w:szCs w:val="16"/>
    </w:rPr>
  </w:style>
  <w:style w:type="character" w:customStyle="1" w:styleId="TextbublinyChar">
    <w:name w:val="Text bubliny Char"/>
    <w:basedOn w:val="Standardnpsmoodstavce"/>
    <w:link w:val="Textbubliny"/>
    <w:uiPriority w:val="99"/>
    <w:semiHidden/>
    <w:rsid w:val="00A77357"/>
    <w:rPr>
      <w:rFonts w:ascii="Tahoma" w:eastAsia="Arial" w:hAnsi="Tahoma" w:cs="Tahoma"/>
      <w:sz w:val="16"/>
      <w:szCs w:val="16"/>
      <w:lang w:eastAsia="cs-CZ"/>
    </w:rPr>
  </w:style>
  <w:style w:type="paragraph" w:styleId="Zhlav">
    <w:name w:val="header"/>
    <w:basedOn w:val="Normln"/>
    <w:link w:val="ZhlavChar"/>
    <w:uiPriority w:val="99"/>
    <w:unhideWhenUsed/>
    <w:rsid w:val="00A77357"/>
    <w:pPr>
      <w:tabs>
        <w:tab w:val="center" w:pos="4536"/>
        <w:tab w:val="right" w:pos="9072"/>
      </w:tabs>
    </w:pPr>
  </w:style>
  <w:style w:type="character" w:customStyle="1" w:styleId="ZhlavChar">
    <w:name w:val="Záhlaví Char"/>
    <w:basedOn w:val="Standardnpsmoodstavce"/>
    <w:link w:val="Zhlav"/>
    <w:uiPriority w:val="99"/>
    <w:rsid w:val="00A77357"/>
    <w:rPr>
      <w:rFonts w:ascii="Arial" w:eastAsia="Arial"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7093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MC Praha 4</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CompAdmin</dc:creator>
  <cp:lastModifiedBy>CompAdmin</cp:lastModifiedBy>
  <cp:revision>1</cp:revision>
  <dcterms:created xsi:type="dcterms:W3CDTF">2015-02-23T16:30:00Z</dcterms:created>
  <dcterms:modified xsi:type="dcterms:W3CDTF">2015-02-23T16:31:00Z</dcterms:modified>
</cp:coreProperties>
</file>