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610D04">
        <w:rPr>
          <w:rFonts w:ascii="Times New Roman" w:hAnsi="Times New Roman"/>
          <w:b/>
          <w:sz w:val="24"/>
          <w:szCs w:val="24"/>
        </w:rPr>
        <w:t>11</w:t>
      </w:r>
      <w:r>
        <w:rPr>
          <w:rFonts w:ascii="Times New Roman" w:hAnsi="Times New Roman"/>
          <w:b/>
          <w:sz w:val="24"/>
          <w:szCs w:val="24"/>
        </w:rPr>
        <w:t>R-</w:t>
      </w:r>
      <w:r w:rsidR="00706B6F">
        <w:rPr>
          <w:rFonts w:ascii="Times New Roman" w:hAnsi="Times New Roman"/>
          <w:b/>
          <w:sz w:val="24"/>
          <w:szCs w:val="24"/>
        </w:rPr>
        <w:t>373</w:t>
      </w:r>
      <w:r>
        <w:rPr>
          <w:rFonts w:ascii="Times New Roman" w:hAnsi="Times New Roman"/>
          <w:b/>
          <w:sz w:val="24"/>
          <w:szCs w:val="24"/>
        </w:rPr>
        <w:t>/20</w:t>
      </w:r>
      <w:r w:rsidR="00097A45">
        <w:rPr>
          <w:rFonts w:ascii="Times New Roman" w:hAnsi="Times New Roman"/>
          <w:b/>
          <w:sz w:val="24"/>
          <w:szCs w:val="24"/>
        </w:rPr>
        <w:t>2</w:t>
      </w:r>
      <w:r w:rsidR="006B162F">
        <w:rPr>
          <w:rFonts w:ascii="Times New Roman" w:hAnsi="Times New Roman"/>
          <w:b/>
          <w:sz w:val="24"/>
          <w:szCs w:val="24"/>
        </w:rPr>
        <w:t>1</w:t>
      </w:r>
      <w:r>
        <w:rPr>
          <w:rFonts w:ascii="Times New Roman" w:hAnsi="Times New Roman"/>
          <w:b/>
          <w:sz w:val="24"/>
          <w:szCs w:val="24"/>
        </w:rPr>
        <w:t xml:space="preserve">  ze dne </w:t>
      </w:r>
      <w:r w:rsidR="00610D04">
        <w:rPr>
          <w:rFonts w:ascii="Times New Roman" w:hAnsi="Times New Roman"/>
          <w:b/>
          <w:sz w:val="24"/>
          <w:szCs w:val="24"/>
        </w:rPr>
        <w:t>2. 6</w:t>
      </w:r>
      <w:r>
        <w:rPr>
          <w:rFonts w:ascii="Times New Roman" w:hAnsi="Times New Roman"/>
          <w:b/>
          <w:sz w:val="24"/>
          <w:szCs w:val="24"/>
        </w:rPr>
        <w:t>. 20</w:t>
      </w:r>
      <w:r w:rsidR="008F2112">
        <w:rPr>
          <w:rFonts w:ascii="Times New Roman" w:hAnsi="Times New Roman"/>
          <w:b/>
          <w:sz w:val="24"/>
          <w:szCs w:val="24"/>
        </w:rPr>
        <w:t>2</w:t>
      </w:r>
      <w:r w:rsidR="00EA6E87">
        <w:rPr>
          <w:rFonts w:ascii="Times New Roman" w:hAnsi="Times New Roman"/>
          <w:b/>
          <w:sz w:val="24"/>
          <w:szCs w:val="24"/>
        </w:rPr>
        <w:t>1</w:t>
      </w:r>
    </w:p>
    <w:p w:rsidR="00BD4EE6" w:rsidRDefault="00BD4EE6" w:rsidP="00BD4EE6">
      <w:pPr>
        <w:jc w:val="center"/>
        <w:rPr>
          <w:b/>
        </w:rPr>
      </w:pPr>
      <w:r>
        <w:rPr>
          <w:rFonts w:ascii="Times New Roman" w:hAnsi="Times New Roman"/>
          <w:sz w:val="24"/>
          <w:szCs w:val="24"/>
        </w:rPr>
        <w:t>-----------------------------------------------------------------------------------------------------------------</w:t>
      </w:r>
    </w:p>
    <w:p w:rsidR="00BD4EE6" w:rsidRDefault="00BD4EE6" w:rsidP="00BD4EE6">
      <w:pPr>
        <w:jc w:val="both"/>
        <w:rPr>
          <w:rFonts w:ascii="Times New Roman" w:hAnsi="Times New Roman"/>
          <w:sz w:val="24"/>
        </w:rPr>
      </w:pPr>
    </w:p>
    <w:p w:rsidR="00865929" w:rsidRPr="00AA4655" w:rsidRDefault="00865929" w:rsidP="00865929">
      <w:pPr>
        <w:jc w:val="center"/>
        <w:rPr>
          <w:rFonts w:ascii="Times New Roman" w:eastAsia="Calibri" w:hAnsi="Times New Roman"/>
          <w:b/>
          <w:sz w:val="24"/>
          <w:szCs w:val="24"/>
          <w:lang w:eastAsia="en-US"/>
        </w:rPr>
      </w:pPr>
      <w:proofErr w:type="gramStart"/>
      <w:r w:rsidRPr="00AA4655">
        <w:rPr>
          <w:rFonts w:ascii="Times New Roman" w:eastAsia="Calibri" w:hAnsi="Times New Roman"/>
          <w:b/>
          <w:sz w:val="24"/>
          <w:szCs w:val="24"/>
          <w:lang w:eastAsia="en-US"/>
        </w:rPr>
        <w:t>S M L O U V A   O   S P O L U P R Á C I</w:t>
      </w:r>
      <w:proofErr w:type="gramEnd"/>
    </w:p>
    <w:p w:rsidR="00865929" w:rsidRPr="00AA4655" w:rsidRDefault="00865929" w:rsidP="00865929">
      <w:pPr>
        <w:jc w:val="center"/>
        <w:rPr>
          <w:rFonts w:ascii="Times New Roman" w:eastAsia="Calibri" w:hAnsi="Times New Roman"/>
          <w:b/>
          <w:sz w:val="24"/>
          <w:szCs w:val="24"/>
          <w:lang w:eastAsia="en-US"/>
        </w:rPr>
      </w:pPr>
    </w:p>
    <w:p w:rsidR="00865929" w:rsidRPr="00AA4655" w:rsidRDefault="00865929" w:rsidP="00865929">
      <w:pPr>
        <w:jc w:val="center"/>
        <w:rPr>
          <w:rFonts w:ascii="Times New Roman" w:eastAsia="Calibri" w:hAnsi="Times New Roman"/>
          <w:b/>
          <w:sz w:val="24"/>
          <w:szCs w:val="24"/>
          <w:lang w:eastAsia="en-US"/>
        </w:rPr>
      </w:pPr>
      <w:r w:rsidRPr="00AA4655">
        <w:rPr>
          <w:rFonts w:ascii="Times New Roman" w:eastAsia="Calibri" w:hAnsi="Times New Roman"/>
          <w:b/>
          <w:sz w:val="24"/>
          <w:szCs w:val="24"/>
          <w:lang w:eastAsia="en-US"/>
        </w:rPr>
        <w:t>Smluvní strany</w:t>
      </w:r>
    </w:p>
    <w:p w:rsidR="00865929" w:rsidRPr="00AA4655" w:rsidRDefault="00865929" w:rsidP="00865929">
      <w:pPr>
        <w:jc w:val="center"/>
        <w:rPr>
          <w:rFonts w:ascii="Times New Roman" w:eastAsia="Calibri" w:hAnsi="Times New Roman"/>
          <w:b/>
          <w:sz w:val="24"/>
          <w:szCs w:val="24"/>
          <w:lang w:eastAsia="en-US"/>
        </w:rPr>
      </w:pPr>
    </w:p>
    <w:p w:rsidR="00865929" w:rsidRPr="00AA4655" w:rsidRDefault="00865929" w:rsidP="00865929">
      <w:pPr>
        <w:spacing w:before="80"/>
        <w:jc w:val="both"/>
        <w:rPr>
          <w:rFonts w:ascii="Times New Roman" w:eastAsia="Calibri" w:hAnsi="Times New Roman"/>
          <w:b/>
          <w:sz w:val="24"/>
          <w:szCs w:val="24"/>
          <w:lang w:eastAsia="en-US"/>
        </w:rPr>
      </w:pPr>
      <w:r w:rsidRPr="00AA4655">
        <w:rPr>
          <w:rFonts w:ascii="Times New Roman" w:eastAsia="Calibri" w:hAnsi="Times New Roman"/>
          <w:b/>
          <w:sz w:val="24"/>
          <w:szCs w:val="24"/>
          <w:lang w:eastAsia="en-US"/>
        </w:rPr>
        <w:t>KONGRESOVÉ CENTRUM PRAHA, a.s.</w:t>
      </w:r>
    </w:p>
    <w:p w:rsidR="00865929" w:rsidRPr="00AA4655" w:rsidRDefault="00865929" w:rsidP="00865929">
      <w:pPr>
        <w:tabs>
          <w:tab w:val="left" w:pos="2268"/>
        </w:tabs>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se sídlem: </w:t>
      </w:r>
      <w:r w:rsidRPr="00AA4655">
        <w:rPr>
          <w:rFonts w:ascii="Times New Roman" w:eastAsia="Calibri" w:hAnsi="Times New Roman"/>
          <w:sz w:val="24"/>
          <w:szCs w:val="24"/>
          <w:lang w:eastAsia="en-US"/>
        </w:rPr>
        <w:tab/>
        <w:t xml:space="preserve">5. května 1640/65, Nusle, </w:t>
      </w:r>
      <w:r w:rsidRPr="00AA4655">
        <w:rPr>
          <w:rFonts w:ascii="Times New Roman" w:eastAsia="Calibri" w:hAnsi="Times New Roman"/>
          <w:color w:val="333333"/>
          <w:sz w:val="24"/>
          <w:szCs w:val="24"/>
          <w:shd w:val="clear" w:color="auto" w:fill="FFFFFF"/>
          <w:lang w:eastAsia="en-US"/>
        </w:rPr>
        <w:t>140 00 Praha 4</w:t>
      </w:r>
    </w:p>
    <w:p w:rsidR="00865929" w:rsidRPr="00AA4655" w:rsidRDefault="00865929" w:rsidP="00865929">
      <w:pPr>
        <w:tabs>
          <w:tab w:val="left" w:pos="2268"/>
        </w:tabs>
        <w:rPr>
          <w:rFonts w:ascii="Times New Roman" w:eastAsia="Calibri" w:hAnsi="Times New Roman"/>
          <w:i/>
          <w:sz w:val="24"/>
          <w:szCs w:val="24"/>
          <w:lang w:eastAsia="en-US"/>
        </w:rPr>
      </w:pPr>
      <w:r w:rsidRPr="00AA4655">
        <w:rPr>
          <w:rFonts w:ascii="Times New Roman" w:eastAsia="Calibri" w:hAnsi="Times New Roman"/>
          <w:sz w:val="24"/>
          <w:szCs w:val="24"/>
          <w:lang w:eastAsia="en-US"/>
        </w:rPr>
        <w:t>zastoupená:</w:t>
      </w:r>
      <w:r w:rsidRPr="00AA4655">
        <w:rPr>
          <w:rFonts w:ascii="Times New Roman" w:eastAsia="Calibri" w:hAnsi="Times New Roman"/>
          <w:sz w:val="24"/>
          <w:szCs w:val="24"/>
          <w:lang w:eastAsia="en-US"/>
        </w:rPr>
        <w:tab/>
        <w:t>………</w:t>
      </w:r>
    </w:p>
    <w:p w:rsidR="00865929" w:rsidRPr="00AA4655" w:rsidRDefault="00865929" w:rsidP="00865929">
      <w:pPr>
        <w:tabs>
          <w:tab w:val="left" w:pos="2268"/>
        </w:tabs>
        <w:rPr>
          <w:rFonts w:ascii="Times New Roman" w:eastAsia="Calibri" w:hAnsi="Times New Roman"/>
          <w:sz w:val="24"/>
          <w:szCs w:val="24"/>
          <w:lang w:eastAsia="en-US"/>
        </w:rPr>
      </w:pPr>
      <w:r w:rsidRPr="00AA4655">
        <w:rPr>
          <w:rFonts w:ascii="Times New Roman" w:eastAsia="Calibri" w:hAnsi="Times New Roman"/>
          <w:sz w:val="24"/>
          <w:szCs w:val="24"/>
          <w:lang w:eastAsia="en-US"/>
        </w:rPr>
        <w:t>IČO:</w:t>
      </w:r>
      <w:r w:rsidRPr="00AA4655">
        <w:rPr>
          <w:rFonts w:ascii="Times New Roman" w:eastAsia="Calibri" w:hAnsi="Times New Roman"/>
          <w:sz w:val="24"/>
          <w:szCs w:val="24"/>
          <w:lang w:eastAsia="en-US"/>
        </w:rPr>
        <w:tab/>
        <w:t>63080249</w:t>
      </w:r>
    </w:p>
    <w:p w:rsidR="00865929" w:rsidRPr="00AA4655" w:rsidRDefault="00865929" w:rsidP="00865929">
      <w:pPr>
        <w:tabs>
          <w:tab w:val="left" w:pos="2268"/>
        </w:tabs>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DIČ: </w:t>
      </w:r>
      <w:r w:rsidRPr="00AA4655">
        <w:rPr>
          <w:rFonts w:ascii="Times New Roman" w:eastAsia="Calibri" w:hAnsi="Times New Roman"/>
          <w:sz w:val="24"/>
          <w:szCs w:val="24"/>
          <w:lang w:eastAsia="en-US"/>
        </w:rPr>
        <w:tab/>
        <w:t>CZ63080249</w:t>
      </w:r>
    </w:p>
    <w:p w:rsidR="00865929" w:rsidRPr="00AA4655" w:rsidRDefault="00865929" w:rsidP="00865929">
      <w:pPr>
        <w:tabs>
          <w:tab w:val="left" w:pos="2268"/>
        </w:tabs>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číslo účtu: </w:t>
      </w:r>
      <w:r w:rsidRPr="00AA4655">
        <w:rPr>
          <w:rFonts w:ascii="Times New Roman" w:eastAsia="Calibri" w:hAnsi="Times New Roman"/>
          <w:sz w:val="24"/>
          <w:szCs w:val="24"/>
          <w:lang w:eastAsia="en-US"/>
        </w:rPr>
        <w:tab/>
        <w:t>……….</w:t>
      </w:r>
    </w:p>
    <w:p w:rsidR="00865929" w:rsidRPr="00AA4655" w:rsidRDefault="00865929" w:rsidP="00865929">
      <w:pPr>
        <w:tabs>
          <w:tab w:val="left" w:pos="2268"/>
        </w:tabs>
        <w:rPr>
          <w:rFonts w:ascii="Times New Roman" w:eastAsia="Calibri" w:hAnsi="Times New Roman"/>
          <w:color w:val="333333"/>
          <w:sz w:val="24"/>
          <w:szCs w:val="24"/>
          <w:shd w:val="clear" w:color="auto" w:fill="FFFFFF"/>
          <w:lang w:eastAsia="en-US"/>
        </w:rPr>
      </w:pPr>
      <w:r w:rsidRPr="00AA4655">
        <w:rPr>
          <w:rFonts w:ascii="Times New Roman" w:eastAsia="Calibri" w:hAnsi="Times New Roman"/>
          <w:sz w:val="24"/>
          <w:szCs w:val="24"/>
          <w:lang w:eastAsia="en-US"/>
        </w:rPr>
        <w:t>spisová značka:</w:t>
      </w:r>
      <w:r w:rsidRPr="00AA4655">
        <w:rPr>
          <w:rFonts w:ascii="Times New Roman" w:eastAsia="Calibri" w:hAnsi="Times New Roman"/>
          <w:sz w:val="24"/>
          <w:szCs w:val="24"/>
          <w:lang w:eastAsia="en-US"/>
        </w:rPr>
        <w:tab/>
        <w:t>B</w:t>
      </w:r>
      <w:r w:rsidRPr="00AA4655">
        <w:rPr>
          <w:rFonts w:ascii="Times New Roman" w:eastAsia="Calibri" w:hAnsi="Times New Roman"/>
          <w:color w:val="333333"/>
          <w:sz w:val="24"/>
          <w:szCs w:val="24"/>
          <w:shd w:val="clear" w:color="auto" w:fill="FFFFFF"/>
          <w:lang w:eastAsia="en-US"/>
        </w:rPr>
        <w:t xml:space="preserve"> 3275 vedená Městským soudem v Praze</w:t>
      </w:r>
    </w:p>
    <w:p w:rsidR="00865929" w:rsidRPr="00AA4655" w:rsidRDefault="00865929" w:rsidP="00865929">
      <w:pPr>
        <w:rPr>
          <w:rFonts w:ascii="Times New Roman" w:eastAsia="Calibri" w:hAnsi="Times New Roman"/>
          <w:sz w:val="24"/>
          <w:szCs w:val="24"/>
          <w:lang w:eastAsia="en-US"/>
        </w:rPr>
      </w:pPr>
      <w:r w:rsidRPr="00AA4655">
        <w:rPr>
          <w:rFonts w:ascii="Times New Roman" w:eastAsia="Calibri" w:hAnsi="Times New Roman"/>
          <w:sz w:val="24"/>
          <w:szCs w:val="24"/>
          <w:lang w:eastAsia="en-US"/>
        </w:rPr>
        <w:t>(dále jen „</w:t>
      </w:r>
      <w:r w:rsidRPr="00AA4655">
        <w:rPr>
          <w:rFonts w:ascii="Times New Roman" w:eastAsia="Calibri" w:hAnsi="Times New Roman"/>
          <w:b/>
          <w:sz w:val="24"/>
          <w:szCs w:val="24"/>
          <w:lang w:eastAsia="en-US"/>
        </w:rPr>
        <w:t>KCP</w:t>
      </w:r>
      <w:r w:rsidRPr="00AA4655">
        <w:rPr>
          <w:rFonts w:ascii="Times New Roman" w:eastAsia="Calibri" w:hAnsi="Times New Roman"/>
          <w:sz w:val="24"/>
          <w:szCs w:val="24"/>
          <w:lang w:eastAsia="en-US"/>
        </w:rPr>
        <w:t>“)</w:t>
      </w:r>
    </w:p>
    <w:p w:rsidR="00865929" w:rsidRPr="00AA4655" w:rsidRDefault="00865929" w:rsidP="00865929">
      <w:pPr>
        <w:rPr>
          <w:rFonts w:ascii="Times New Roman" w:eastAsia="Calibri" w:hAnsi="Times New Roman"/>
          <w:sz w:val="24"/>
          <w:szCs w:val="24"/>
          <w:lang w:eastAsia="en-US"/>
        </w:rPr>
      </w:pPr>
    </w:p>
    <w:p w:rsidR="00865929" w:rsidRPr="00AA4655" w:rsidRDefault="00865929" w:rsidP="00865929">
      <w:pPr>
        <w:rPr>
          <w:rFonts w:ascii="Times New Roman" w:eastAsia="Calibri" w:hAnsi="Times New Roman"/>
          <w:sz w:val="24"/>
          <w:szCs w:val="24"/>
          <w:lang w:eastAsia="en-US"/>
        </w:rPr>
      </w:pPr>
      <w:r w:rsidRPr="00AA4655">
        <w:rPr>
          <w:rFonts w:ascii="Times New Roman" w:eastAsia="Calibri" w:hAnsi="Times New Roman"/>
          <w:sz w:val="24"/>
          <w:szCs w:val="24"/>
          <w:lang w:eastAsia="en-US"/>
        </w:rPr>
        <w:t>a</w:t>
      </w:r>
    </w:p>
    <w:p w:rsidR="00865929" w:rsidRPr="00AA4655" w:rsidRDefault="00865929" w:rsidP="00865929">
      <w:pPr>
        <w:rPr>
          <w:rFonts w:ascii="Times New Roman" w:eastAsia="Calibri" w:hAnsi="Times New Roman"/>
          <w:sz w:val="24"/>
          <w:szCs w:val="24"/>
          <w:lang w:eastAsia="en-US"/>
        </w:rPr>
      </w:pPr>
    </w:p>
    <w:p w:rsidR="00865929" w:rsidRPr="00AA4655" w:rsidRDefault="00865929" w:rsidP="00865929">
      <w:pPr>
        <w:rPr>
          <w:rFonts w:ascii="Times New Roman" w:eastAsia="Calibri" w:hAnsi="Times New Roman"/>
          <w:b/>
          <w:bCs/>
          <w:sz w:val="24"/>
          <w:szCs w:val="24"/>
          <w:lang w:eastAsia="en-US"/>
        </w:rPr>
      </w:pPr>
      <w:r w:rsidRPr="00AA4655">
        <w:rPr>
          <w:rFonts w:ascii="Times New Roman" w:eastAsia="Calibri" w:hAnsi="Times New Roman"/>
          <w:b/>
          <w:bCs/>
          <w:sz w:val="24"/>
          <w:szCs w:val="24"/>
          <w:lang w:eastAsia="en-US"/>
        </w:rPr>
        <w:t>Městská část Praha 4</w:t>
      </w:r>
    </w:p>
    <w:p w:rsidR="00865929" w:rsidRPr="00AA4655" w:rsidRDefault="00865929" w:rsidP="00865929">
      <w:pPr>
        <w:widowControl w:val="0"/>
        <w:tabs>
          <w:tab w:val="left" w:pos="2268"/>
        </w:tabs>
        <w:autoSpaceDE w:val="0"/>
        <w:autoSpaceDN w:val="0"/>
        <w:adjustRightInd w:val="0"/>
        <w:ind w:right="28"/>
        <w:jc w:val="both"/>
        <w:rPr>
          <w:rFonts w:ascii="Times New Roman" w:eastAsia="Times New Roman" w:hAnsi="Times New Roman"/>
          <w:sz w:val="24"/>
          <w:szCs w:val="24"/>
        </w:rPr>
      </w:pPr>
      <w:r w:rsidRPr="00AA4655">
        <w:rPr>
          <w:rFonts w:ascii="Times New Roman" w:eastAsia="Times New Roman" w:hAnsi="Times New Roman"/>
          <w:sz w:val="24"/>
          <w:szCs w:val="24"/>
        </w:rPr>
        <w:t>se sídlem: Antala Staška 2059/80b, 140 46 Praha 4</w:t>
      </w:r>
      <w:r w:rsidRPr="00AA4655">
        <w:rPr>
          <w:rFonts w:ascii="Times New Roman" w:eastAsia="Times New Roman" w:hAnsi="Times New Roman"/>
          <w:sz w:val="24"/>
          <w:szCs w:val="24"/>
        </w:rPr>
        <w:tab/>
      </w:r>
    </w:p>
    <w:p w:rsidR="00865929" w:rsidRPr="00AA4655" w:rsidRDefault="00865929" w:rsidP="00865929">
      <w:pPr>
        <w:widowControl w:val="0"/>
        <w:tabs>
          <w:tab w:val="left" w:pos="2268"/>
        </w:tabs>
        <w:autoSpaceDE w:val="0"/>
        <w:autoSpaceDN w:val="0"/>
        <w:adjustRightInd w:val="0"/>
        <w:ind w:right="28"/>
        <w:jc w:val="both"/>
        <w:rPr>
          <w:rFonts w:ascii="Times New Roman" w:eastAsia="Times New Roman" w:hAnsi="Times New Roman"/>
          <w:sz w:val="24"/>
          <w:szCs w:val="24"/>
        </w:rPr>
      </w:pPr>
      <w:r w:rsidRPr="00AA4655">
        <w:rPr>
          <w:rFonts w:ascii="Times New Roman" w:eastAsia="Times New Roman" w:hAnsi="Times New Roman"/>
          <w:sz w:val="24"/>
          <w:szCs w:val="24"/>
        </w:rPr>
        <w:t xml:space="preserve">zastoupená: Irenou Michalcovou, starostkou </w:t>
      </w:r>
      <w:r w:rsidRPr="00AA4655">
        <w:rPr>
          <w:rFonts w:ascii="Times New Roman" w:eastAsia="Times New Roman" w:hAnsi="Times New Roman"/>
          <w:sz w:val="24"/>
          <w:szCs w:val="24"/>
        </w:rPr>
        <w:tab/>
      </w:r>
    </w:p>
    <w:p w:rsidR="00865929" w:rsidRPr="00AA4655" w:rsidRDefault="00865929" w:rsidP="00865929">
      <w:pPr>
        <w:widowControl w:val="0"/>
        <w:tabs>
          <w:tab w:val="left" w:pos="2268"/>
        </w:tabs>
        <w:autoSpaceDE w:val="0"/>
        <w:autoSpaceDN w:val="0"/>
        <w:adjustRightInd w:val="0"/>
        <w:ind w:right="28"/>
        <w:jc w:val="both"/>
        <w:rPr>
          <w:rFonts w:ascii="Times New Roman" w:eastAsia="Times New Roman" w:hAnsi="Times New Roman"/>
          <w:sz w:val="24"/>
          <w:szCs w:val="24"/>
        </w:rPr>
      </w:pPr>
      <w:r w:rsidRPr="00AA4655">
        <w:rPr>
          <w:rFonts w:ascii="Times New Roman" w:eastAsia="Times New Roman" w:hAnsi="Times New Roman"/>
          <w:sz w:val="24"/>
          <w:szCs w:val="24"/>
        </w:rPr>
        <w:t>IČO: 00063584</w:t>
      </w:r>
      <w:r w:rsidRPr="00AA4655">
        <w:rPr>
          <w:rFonts w:ascii="Times New Roman" w:eastAsia="Times New Roman" w:hAnsi="Times New Roman"/>
          <w:sz w:val="24"/>
          <w:szCs w:val="24"/>
        </w:rPr>
        <w:tab/>
      </w:r>
    </w:p>
    <w:p w:rsidR="00865929" w:rsidRPr="00AA4655" w:rsidRDefault="00865929" w:rsidP="00865929">
      <w:pPr>
        <w:widowControl w:val="0"/>
        <w:tabs>
          <w:tab w:val="left" w:pos="2268"/>
        </w:tabs>
        <w:autoSpaceDE w:val="0"/>
        <w:autoSpaceDN w:val="0"/>
        <w:adjustRightInd w:val="0"/>
        <w:ind w:right="28"/>
        <w:jc w:val="both"/>
        <w:rPr>
          <w:rFonts w:ascii="Times New Roman" w:eastAsia="Times New Roman" w:hAnsi="Times New Roman"/>
          <w:sz w:val="24"/>
          <w:szCs w:val="24"/>
        </w:rPr>
      </w:pPr>
      <w:r w:rsidRPr="00AA4655">
        <w:rPr>
          <w:rFonts w:ascii="Times New Roman" w:eastAsia="Times New Roman" w:hAnsi="Times New Roman"/>
          <w:sz w:val="24"/>
          <w:szCs w:val="24"/>
        </w:rPr>
        <w:t>DIČ: CZ00063584</w:t>
      </w:r>
      <w:r w:rsidRPr="00AA4655">
        <w:rPr>
          <w:rFonts w:ascii="Times New Roman" w:eastAsia="Times New Roman" w:hAnsi="Times New Roman"/>
          <w:sz w:val="24"/>
          <w:szCs w:val="24"/>
        </w:rPr>
        <w:tab/>
      </w:r>
    </w:p>
    <w:p w:rsidR="00865929" w:rsidRPr="00AA4655" w:rsidRDefault="00865929" w:rsidP="00865929">
      <w:pPr>
        <w:rPr>
          <w:rFonts w:ascii="Times New Roman" w:eastAsia="Calibri" w:hAnsi="Times New Roman"/>
          <w:sz w:val="24"/>
          <w:szCs w:val="24"/>
          <w:lang w:eastAsia="en-US"/>
        </w:rPr>
      </w:pPr>
      <w:r w:rsidRPr="00AA4655">
        <w:rPr>
          <w:rFonts w:ascii="Times New Roman" w:eastAsia="Calibri" w:hAnsi="Times New Roman"/>
          <w:sz w:val="24"/>
          <w:szCs w:val="24"/>
          <w:lang w:eastAsia="en-US"/>
        </w:rPr>
        <w:t>(dále jen „</w:t>
      </w:r>
      <w:r w:rsidRPr="00AA4655">
        <w:rPr>
          <w:rFonts w:ascii="Times New Roman" w:eastAsia="Calibri" w:hAnsi="Times New Roman"/>
          <w:b/>
          <w:sz w:val="24"/>
          <w:szCs w:val="24"/>
          <w:lang w:eastAsia="en-US"/>
        </w:rPr>
        <w:t>MČ P4</w:t>
      </w:r>
      <w:r w:rsidRPr="00AA4655">
        <w:rPr>
          <w:rFonts w:ascii="Times New Roman" w:eastAsia="Calibri" w:hAnsi="Times New Roman"/>
          <w:sz w:val="24"/>
          <w:szCs w:val="24"/>
          <w:lang w:eastAsia="en-US"/>
        </w:rPr>
        <w:t>“)</w:t>
      </w:r>
    </w:p>
    <w:p w:rsidR="00865929" w:rsidRPr="00AA4655" w:rsidRDefault="00865929" w:rsidP="00865929">
      <w:pPr>
        <w:rPr>
          <w:rFonts w:ascii="Times New Roman" w:eastAsia="Calibri" w:hAnsi="Times New Roman"/>
          <w:sz w:val="24"/>
          <w:szCs w:val="24"/>
          <w:lang w:eastAsia="en-US"/>
        </w:rPr>
      </w:pPr>
    </w:p>
    <w:p w:rsidR="00865929" w:rsidRPr="00AA4655" w:rsidRDefault="00865929" w:rsidP="00865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ヒラギノ角ゴ Pro W3" w:hAnsi="Times New Roman"/>
          <w:color w:val="000000"/>
          <w:sz w:val="24"/>
          <w:szCs w:val="24"/>
          <w:lang w:eastAsia="zh-CN"/>
        </w:rPr>
      </w:pPr>
      <w:r w:rsidRPr="00AA4655">
        <w:rPr>
          <w:rFonts w:ascii="Times New Roman" w:eastAsia="ヒラギノ角ゴ Pro W3" w:hAnsi="Times New Roman"/>
          <w:color w:val="000000"/>
          <w:sz w:val="24"/>
          <w:szCs w:val="24"/>
          <w:lang w:eastAsia="zh-CN"/>
        </w:rPr>
        <w:t xml:space="preserve">se dohodly, podle ustanovení § 1746, odst. 2 zákona č. 89/2012 Sb., občanský zákoník (dále jen </w:t>
      </w:r>
      <w:r w:rsidRPr="00AA4655">
        <w:rPr>
          <w:rFonts w:ascii="Times New Roman" w:eastAsia="ヒラギノ角ゴ Pro W3" w:hAnsi="Times New Roman"/>
          <w:b/>
          <w:color w:val="000000"/>
          <w:sz w:val="24"/>
          <w:szCs w:val="24"/>
          <w:lang w:eastAsia="zh-CN"/>
        </w:rPr>
        <w:t>„OZ“</w:t>
      </w:r>
      <w:r w:rsidRPr="00AA4655">
        <w:rPr>
          <w:rFonts w:ascii="Times New Roman" w:eastAsia="ヒラギノ角ゴ Pro W3" w:hAnsi="Times New Roman"/>
          <w:color w:val="000000"/>
          <w:sz w:val="24"/>
          <w:szCs w:val="24"/>
          <w:lang w:eastAsia="zh-CN"/>
        </w:rPr>
        <w:t>) a na základě usnesení 11. zasedání Rad</w:t>
      </w:r>
      <w:r w:rsidR="00706B6F">
        <w:rPr>
          <w:rFonts w:ascii="Times New Roman" w:eastAsia="ヒラギノ角ゴ Pro W3" w:hAnsi="Times New Roman"/>
          <w:color w:val="000000"/>
          <w:sz w:val="24"/>
          <w:szCs w:val="24"/>
          <w:lang w:eastAsia="zh-CN"/>
        </w:rPr>
        <w:t>y městské části Praha 4 č. 11R-373</w:t>
      </w:r>
      <w:r w:rsidRPr="00AA4655">
        <w:rPr>
          <w:rFonts w:ascii="Times New Roman" w:eastAsia="ヒラギノ角ゴ Pro W3" w:hAnsi="Times New Roman"/>
          <w:color w:val="000000"/>
          <w:sz w:val="24"/>
          <w:szCs w:val="24"/>
          <w:lang w:eastAsia="zh-CN"/>
        </w:rPr>
        <w:t>/2021 ze dne 2. 6. 2021 na uzavření smlouvy o vzájemné spolupráci (dále jen „</w:t>
      </w:r>
      <w:r w:rsidRPr="00AA4655">
        <w:rPr>
          <w:rFonts w:ascii="Times New Roman" w:eastAsia="ヒラギノ角ゴ Pro W3" w:hAnsi="Times New Roman"/>
          <w:b/>
          <w:color w:val="000000"/>
          <w:sz w:val="24"/>
          <w:szCs w:val="24"/>
          <w:lang w:eastAsia="zh-CN"/>
        </w:rPr>
        <w:t>smlouva</w:t>
      </w:r>
      <w:r w:rsidRPr="00AA4655">
        <w:rPr>
          <w:rFonts w:ascii="Times New Roman" w:eastAsia="ヒラギノ角ゴ Pro W3" w:hAnsi="Times New Roman"/>
          <w:color w:val="000000"/>
          <w:sz w:val="24"/>
          <w:szCs w:val="24"/>
          <w:lang w:eastAsia="zh-CN"/>
        </w:rPr>
        <w:t>“).</w:t>
      </w:r>
    </w:p>
    <w:p w:rsidR="00865929" w:rsidRPr="00AA4655" w:rsidRDefault="00865929" w:rsidP="00865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imes New Roman" w:eastAsia="ヒラギノ角ゴ Pro W3" w:hAnsi="Times New Roman"/>
          <w:color w:val="000000"/>
          <w:sz w:val="24"/>
          <w:szCs w:val="24"/>
          <w:lang w:eastAsia="zh-CN"/>
        </w:rPr>
      </w:pPr>
    </w:p>
    <w:p w:rsidR="00865929" w:rsidRPr="00AA4655" w:rsidRDefault="00865929" w:rsidP="00865929">
      <w:pPr>
        <w:keepNext/>
        <w:suppressAutoHyphens/>
        <w:jc w:val="center"/>
        <w:outlineLvl w:val="1"/>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I.</w:t>
      </w:r>
    </w:p>
    <w:p w:rsidR="00865929" w:rsidRPr="00AA4655" w:rsidRDefault="00865929" w:rsidP="00865929">
      <w:pPr>
        <w:keepNext/>
        <w:suppressAutoHyphens/>
        <w:jc w:val="center"/>
        <w:outlineLvl w:val="1"/>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Předmět smlouvy</w:t>
      </w:r>
    </w:p>
    <w:p w:rsidR="00865929" w:rsidRPr="00AA4655" w:rsidRDefault="00865929" w:rsidP="00865929">
      <w:pPr>
        <w:rPr>
          <w:rFonts w:ascii="Times New Roman" w:eastAsia="Calibri" w:hAnsi="Times New Roman"/>
          <w:sz w:val="24"/>
          <w:szCs w:val="24"/>
          <w:lang w:eastAsia="zh-CN"/>
        </w:rPr>
      </w:pPr>
    </w:p>
    <w:p w:rsidR="00865929" w:rsidRPr="00AA4655" w:rsidRDefault="00865929" w:rsidP="00865929">
      <w:p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Předmětem této smlouvy je úprava vzájemných práv a povinností smluvních stran za účelem realizace </w:t>
      </w:r>
      <w:r w:rsidRPr="00AA4655">
        <w:rPr>
          <w:rFonts w:ascii="Times New Roman" w:eastAsia="Calibri" w:hAnsi="Times New Roman"/>
          <w:b/>
          <w:sz w:val="24"/>
          <w:szCs w:val="24"/>
          <w:lang w:eastAsia="en-US"/>
        </w:rPr>
        <w:t xml:space="preserve">interaktivní výstavy – „Od </w:t>
      </w:r>
      <w:proofErr w:type="spellStart"/>
      <w:r w:rsidRPr="00AA4655">
        <w:rPr>
          <w:rFonts w:ascii="Times New Roman" w:eastAsia="Calibri" w:hAnsi="Times New Roman"/>
          <w:b/>
          <w:sz w:val="24"/>
          <w:szCs w:val="24"/>
          <w:lang w:eastAsia="en-US"/>
        </w:rPr>
        <w:t>Pakulu</w:t>
      </w:r>
      <w:proofErr w:type="spellEnd"/>
      <w:r w:rsidRPr="00AA4655">
        <w:rPr>
          <w:rFonts w:ascii="Times New Roman" w:eastAsia="Calibri" w:hAnsi="Times New Roman"/>
          <w:b/>
          <w:sz w:val="24"/>
          <w:szCs w:val="24"/>
          <w:lang w:eastAsia="en-US"/>
        </w:rPr>
        <w:t xml:space="preserve"> ke </w:t>
      </w:r>
      <w:proofErr w:type="spellStart"/>
      <w:r w:rsidRPr="00AA4655">
        <w:rPr>
          <w:rFonts w:ascii="Times New Roman" w:eastAsia="Calibri" w:hAnsi="Times New Roman"/>
          <w:b/>
          <w:sz w:val="24"/>
          <w:szCs w:val="24"/>
          <w:lang w:eastAsia="en-US"/>
        </w:rPr>
        <w:t>Kongresáku</w:t>
      </w:r>
      <w:proofErr w:type="spellEnd"/>
      <w:r w:rsidRPr="00AA4655">
        <w:rPr>
          <w:rFonts w:ascii="Times New Roman" w:eastAsia="Calibri" w:hAnsi="Times New Roman"/>
          <w:b/>
          <w:sz w:val="24"/>
          <w:szCs w:val="24"/>
          <w:lang w:eastAsia="en-US"/>
        </w:rPr>
        <w:t>“</w:t>
      </w:r>
      <w:r w:rsidRPr="00AA4655">
        <w:rPr>
          <w:rFonts w:ascii="Times New Roman" w:eastAsia="Calibri" w:hAnsi="Times New Roman"/>
          <w:sz w:val="24"/>
          <w:szCs w:val="24"/>
          <w:lang w:eastAsia="en-US"/>
        </w:rPr>
        <w:t xml:space="preserve">, která se uskuteční v areálu budovy Kongresového centra Praha a přilehlého okolí v termínu od 21. června </w:t>
      </w:r>
      <w:r w:rsidRPr="00AA4655">
        <w:rPr>
          <w:rFonts w:ascii="Times New Roman" w:eastAsia="Calibri" w:hAnsi="Times New Roman"/>
          <w:sz w:val="24"/>
          <w:szCs w:val="24"/>
          <w:lang w:eastAsia="en-US"/>
        </w:rPr>
        <w:br/>
        <w:t xml:space="preserve">do 12. září 2021, uspořádané v rámci oslav k 40 letům otevření KCP – </w:t>
      </w:r>
      <w:r w:rsidRPr="00AA4655">
        <w:rPr>
          <w:rFonts w:ascii="Times New Roman" w:eastAsia="Calibri" w:hAnsi="Times New Roman"/>
          <w:b/>
          <w:sz w:val="24"/>
          <w:szCs w:val="24"/>
          <w:lang w:eastAsia="en-US"/>
        </w:rPr>
        <w:t>„KCP 40“</w:t>
      </w:r>
      <w:r w:rsidRPr="00AA4655" w:rsidDel="003D630B">
        <w:rPr>
          <w:rFonts w:ascii="Times New Roman" w:eastAsia="Calibri" w:hAnsi="Times New Roman"/>
          <w:sz w:val="24"/>
          <w:szCs w:val="24"/>
          <w:lang w:eastAsia="en-US"/>
        </w:rPr>
        <w:t xml:space="preserve"> </w:t>
      </w:r>
      <w:r w:rsidRPr="00AA4655">
        <w:rPr>
          <w:rFonts w:ascii="Times New Roman" w:eastAsia="Calibri" w:hAnsi="Times New Roman"/>
          <w:sz w:val="24"/>
          <w:szCs w:val="24"/>
          <w:lang w:eastAsia="en-US"/>
        </w:rPr>
        <w:t>(dále jen „Akce“).</w:t>
      </w:r>
    </w:p>
    <w:p w:rsidR="00865929" w:rsidRPr="00AA4655" w:rsidRDefault="00865929" w:rsidP="00865929">
      <w:pPr>
        <w:jc w:val="both"/>
        <w:rPr>
          <w:rFonts w:ascii="Times New Roman" w:eastAsia="Calibri" w:hAnsi="Times New Roman"/>
          <w:iCs/>
          <w:sz w:val="24"/>
          <w:szCs w:val="24"/>
          <w:lang w:eastAsia="en-US"/>
        </w:rPr>
      </w:pPr>
    </w:p>
    <w:p w:rsidR="00865929" w:rsidRPr="00AA4655" w:rsidRDefault="00865929" w:rsidP="00865929">
      <w:pPr>
        <w:suppressAutoHyphens/>
        <w:jc w:val="center"/>
        <w:outlineLvl w:val="4"/>
        <w:rPr>
          <w:rFonts w:ascii="Times New Roman" w:eastAsia="Times New Roman" w:hAnsi="Times New Roman"/>
          <w:b/>
          <w:bCs/>
          <w:i/>
          <w:iCs/>
          <w:sz w:val="24"/>
          <w:szCs w:val="24"/>
          <w:lang w:eastAsia="zh-CN"/>
        </w:rPr>
      </w:pPr>
      <w:r w:rsidRPr="00AA4655">
        <w:rPr>
          <w:rFonts w:ascii="Times New Roman" w:eastAsia="Times New Roman" w:hAnsi="Times New Roman"/>
          <w:b/>
          <w:bCs/>
          <w:iCs/>
          <w:sz w:val="24"/>
          <w:szCs w:val="24"/>
          <w:lang w:eastAsia="zh-CN"/>
        </w:rPr>
        <w:t>II.</w:t>
      </w:r>
    </w:p>
    <w:p w:rsidR="00865929" w:rsidRPr="00AA4655" w:rsidRDefault="00865929" w:rsidP="00865929">
      <w:pPr>
        <w:jc w:val="center"/>
        <w:rPr>
          <w:rFonts w:ascii="Times New Roman" w:eastAsia="Calibri" w:hAnsi="Times New Roman"/>
          <w:b/>
          <w:sz w:val="24"/>
          <w:szCs w:val="24"/>
          <w:lang w:eastAsia="en-US"/>
        </w:rPr>
      </w:pPr>
      <w:r w:rsidRPr="00AA4655">
        <w:rPr>
          <w:rFonts w:ascii="Times New Roman" w:eastAsia="Calibri" w:hAnsi="Times New Roman"/>
          <w:b/>
          <w:sz w:val="24"/>
          <w:szCs w:val="24"/>
          <w:lang w:eastAsia="en-US"/>
        </w:rPr>
        <w:t xml:space="preserve">Práva a povinnosti smluvních stran </w:t>
      </w:r>
    </w:p>
    <w:p w:rsidR="00865929" w:rsidRPr="00AA4655" w:rsidRDefault="00865929" w:rsidP="00865929">
      <w:pPr>
        <w:jc w:val="center"/>
        <w:rPr>
          <w:rFonts w:ascii="Times New Roman" w:eastAsia="Calibri" w:hAnsi="Times New Roman"/>
          <w:b/>
          <w:sz w:val="24"/>
          <w:szCs w:val="24"/>
          <w:lang w:eastAsia="en-US"/>
        </w:rPr>
      </w:pPr>
    </w:p>
    <w:p w:rsidR="00865929" w:rsidRPr="00AA4655" w:rsidRDefault="00865929" w:rsidP="00865929">
      <w:pPr>
        <w:numPr>
          <w:ilvl w:val="0"/>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MČ P4 se v zájmu realizace Akce na základě této Smlouvy o spolupráci zavazuje zajistit pro Akci dodávky a služby ve výši nepřesahující 200.000,- Kč bez DPH.</w:t>
      </w:r>
    </w:p>
    <w:p w:rsidR="00865929" w:rsidRPr="00AA4655" w:rsidRDefault="00865929" w:rsidP="00865929">
      <w:pPr>
        <w:ind w:left="720"/>
        <w:jc w:val="both"/>
        <w:rPr>
          <w:rFonts w:ascii="Times New Roman" w:eastAsia="Calibri" w:hAnsi="Times New Roman"/>
          <w:sz w:val="24"/>
          <w:szCs w:val="24"/>
          <w:lang w:eastAsia="en-US"/>
        </w:rPr>
      </w:pPr>
    </w:p>
    <w:p w:rsidR="00865929" w:rsidRPr="00AA4655" w:rsidRDefault="00865929" w:rsidP="00865929">
      <w:pPr>
        <w:numPr>
          <w:ilvl w:val="0"/>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KCP se v zájmu realizace Akce na základě této Smlouvy o spolupráci zavazuje uvádět MČ P4 jako partnera akce, zejména pak:</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umístit znak MČ P4 s informací o spolupráci a podpoře na všech propagačních materiálech, které budou vydány v souvislosti s konáním Akce; </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lastRenderedPageBreak/>
        <w:t>propagovat MČ P4 s informací o spolupráci a podpoře formou online propagace na sociálních sítích v souvislosti s konáním Akce;</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propagovat MČ P4 s informací o spolupráci a podpoře v propagačních kampaních, v souvislosti s konání Akce, prostřednictvím mediálních partnerů;</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zajistit umístění znaku MČ P4 o minimálních rozměrech 3 x 1,5 cm na webových stránkách KCP www.praguecc.cz s aktivním odkazem na webové stránky zadavatele v době od 21. 6. 2021 do 30. 9. 2021;</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zajistit propagaci MČ P4 během konání Akce v rámci bloku Interaktivní výstava formou instalace např. digitální obrazovky, </w:t>
      </w:r>
      <w:proofErr w:type="spellStart"/>
      <w:r w:rsidRPr="00AA4655">
        <w:rPr>
          <w:rFonts w:ascii="Times New Roman" w:eastAsia="Calibri" w:hAnsi="Times New Roman"/>
          <w:sz w:val="24"/>
          <w:szCs w:val="24"/>
          <w:lang w:eastAsia="en-US"/>
        </w:rPr>
        <w:t>roll</w:t>
      </w:r>
      <w:proofErr w:type="spellEnd"/>
      <w:r w:rsidRPr="00AA4655">
        <w:rPr>
          <w:rFonts w:ascii="Times New Roman" w:eastAsia="Calibri" w:hAnsi="Times New Roman"/>
          <w:sz w:val="24"/>
          <w:szCs w:val="24"/>
          <w:lang w:eastAsia="en-US"/>
        </w:rPr>
        <w:t xml:space="preserve"> up či banneru MČ P4, umístěním tematického panelu, či možnost </w:t>
      </w:r>
      <w:proofErr w:type="spellStart"/>
      <w:r w:rsidRPr="00AA4655">
        <w:rPr>
          <w:rFonts w:ascii="Times New Roman" w:eastAsia="Calibri" w:hAnsi="Times New Roman"/>
          <w:sz w:val="24"/>
          <w:szCs w:val="24"/>
          <w:lang w:eastAsia="en-US"/>
        </w:rPr>
        <w:t>merchandisingu</w:t>
      </w:r>
      <w:proofErr w:type="spellEnd"/>
      <w:r w:rsidRPr="00AA4655">
        <w:rPr>
          <w:rFonts w:ascii="Times New Roman" w:eastAsia="Calibri" w:hAnsi="Times New Roman"/>
          <w:sz w:val="24"/>
          <w:szCs w:val="24"/>
          <w:lang w:eastAsia="en-US"/>
        </w:rPr>
        <w:t>);</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 xml:space="preserve">zajistit vstup zástupcům MČ P4 a zaměstnancům úřadu MČ Praha 4 na akci pro ověření plnění předmětu smlouvy; </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použít ochrannou znak MČ P4 pouze pro účely spojené s plněním závazků vyplývajících z této smlouvy, dodržet barevnou strukturu a grafiku znaku MČ P4;</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zaslat MČ P4 před výtiskem veškerých tiskovin v rozsahu dle této smlouvy náhled ke korektuře;</w:t>
      </w:r>
    </w:p>
    <w:p w:rsidR="00865929" w:rsidRPr="00AA4655" w:rsidRDefault="00865929" w:rsidP="00865929">
      <w:pPr>
        <w:numPr>
          <w:ilvl w:val="1"/>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předat do 14 dnů po splnění předmětu smlouvy MČ P4 po jednom kusu propagačních materiálů dle této smlouvy, na nichž má KCP zajistit umístění znaku MČ P4 a fotodokumentaci plnění závazku KCP dle této smlouvy pro archivaci.</w:t>
      </w:r>
    </w:p>
    <w:p w:rsidR="00865929" w:rsidRPr="00AA4655" w:rsidRDefault="00865929" w:rsidP="00865929">
      <w:pPr>
        <w:ind w:left="1440"/>
        <w:jc w:val="both"/>
        <w:rPr>
          <w:rFonts w:ascii="Times New Roman" w:eastAsia="Calibri" w:hAnsi="Times New Roman"/>
          <w:sz w:val="24"/>
          <w:szCs w:val="24"/>
          <w:highlight w:val="yellow"/>
          <w:lang w:eastAsia="en-US"/>
        </w:rPr>
      </w:pPr>
    </w:p>
    <w:p w:rsidR="00865929" w:rsidRPr="00AA4655" w:rsidRDefault="00865929" w:rsidP="00865929">
      <w:pPr>
        <w:numPr>
          <w:ilvl w:val="0"/>
          <w:numId w:val="15"/>
        </w:numPr>
        <w:jc w:val="both"/>
        <w:rPr>
          <w:rFonts w:ascii="Times New Roman" w:eastAsia="Calibri" w:hAnsi="Times New Roman"/>
          <w:sz w:val="24"/>
          <w:szCs w:val="24"/>
          <w:lang w:eastAsia="en-US"/>
        </w:rPr>
      </w:pPr>
      <w:r w:rsidRPr="00AA4655">
        <w:rPr>
          <w:rFonts w:ascii="Times New Roman" w:eastAsia="Calibri" w:hAnsi="Times New Roman"/>
          <w:sz w:val="24"/>
          <w:szCs w:val="24"/>
          <w:lang w:eastAsia="en-US"/>
        </w:rPr>
        <w:t>Smluvní strany jsou při přípravě a realizaci povinny postupovat ve vzájemné součinnosti tak, aby výstava byla řádně připravena k zahájení ve sjednaném termínu.</w:t>
      </w:r>
    </w:p>
    <w:p w:rsidR="00865929" w:rsidRPr="00AA4655" w:rsidRDefault="00865929" w:rsidP="00865929">
      <w:pPr>
        <w:keepNext/>
        <w:suppressAutoHyphens/>
        <w:jc w:val="both"/>
        <w:outlineLvl w:val="3"/>
        <w:rPr>
          <w:rFonts w:ascii="Times New Roman" w:eastAsia="Calibri" w:hAnsi="Times New Roman"/>
          <w:sz w:val="24"/>
          <w:szCs w:val="24"/>
          <w:lang w:eastAsia="en-US"/>
        </w:rPr>
      </w:pPr>
    </w:p>
    <w:p w:rsidR="00865929" w:rsidRPr="00AA4655" w:rsidRDefault="00865929" w:rsidP="00865929">
      <w:pPr>
        <w:keepNext/>
        <w:suppressAutoHyphens/>
        <w:jc w:val="center"/>
        <w:outlineLvl w:val="3"/>
        <w:rPr>
          <w:rFonts w:ascii="Times New Roman" w:eastAsia="Times New Roman" w:hAnsi="Times New Roman"/>
          <w:b/>
          <w:bCs/>
          <w:sz w:val="24"/>
          <w:szCs w:val="24"/>
          <w:lang w:eastAsia="zh-CN"/>
        </w:rPr>
      </w:pPr>
      <w:r w:rsidRPr="00AA4655">
        <w:rPr>
          <w:rFonts w:ascii="Times New Roman" w:eastAsia="Times New Roman" w:hAnsi="Times New Roman"/>
          <w:b/>
          <w:bCs/>
          <w:sz w:val="24"/>
          <w:szCs w:val="24"/>
          <w:lang w:eastAsia="zh-CN"/>
        </w:rPr>
        <w:t>III.</w:t>
      </w:r>
    </w:p>
    <w:p w:rsidR="00865929" w:rsidRPr="00AA4655" w:rsidRDefault="00865929" w:rsidP="00865929">
      <w:pPr>
        <w:suppressAutoHyphens/>
        <w:ind w:left="567" w:hanging="567"/>
        <w:jc w:val="center"/>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Ostatní práva a povinnost smluvních stran</w:t>
      </w:r>
    </w:p>
    <w:p w:rsidR="00865929" w:rsidRPr="00AA4655" w:rsidRDefault="00865929" w:rsidP="00865929">
      <w:pPr>
        <w:suppressAutoHyphens/>
        <w:ind w:left="567" w:hanging="567"/>
        <w:jc w:val="center"/>
        <w:rPr>
          <w:rFonts w:ascii="Times New Roman" w:eastAsia="Times New Roman" w:hAnsi="Times New Roman"/>
          <w:b/>
          <w:sz w:val="24"/>
          <w:szCs w:val="24"/>
          <w:lang w:eastAsia="zh-CN"/>
        </w:rPr>
      </w:pPr>
    </w:p>
    <w:p w:rsidR="00865929" w:rsidRPr="00AA4655" w:rsidRDefault="00865929" w:rsidP="00865929">
      <w:pPr>
        <w:numPr>
          <w:ilvl w:val="0"/>
          <w:numId w:val="16"/>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Smluvní strany se zavazují průběžně o plnění svých povinností informovat druhou smluvní stranu.</w:t>
      </w:r>
    </w:p>
    <w:p w:rsidR="00865929" w:rsidRPr="00AA4655" w:rsidRDefault="00865929" w:rsidP="00865929">
      <w:pPr>
        <w:suppressAutoHyphens/>
        <w:ind w:left="720"/>
        <w:jc w:val="both"/>
        <w:rPr>
          <w:rFonts w:ascii="Times New Roman" w:eastAsia="Times New Roman" w:hAnsi="Times New Roman"/>
          <w:sz w:val="24"/>
          <w:szCs w:val="24"/>
          <w:lang w:eastAsia="zh-CN"/>
        </w:rPr>
      </w:pPr>
    </w:p>
    <w:p w:rsidR="00865929" w:rsidRPr="00AA4655" w:rsidRDefault="00865929" w:rsidP="00865929">
      <w:pPr>
        <w:numPr>
          <w:ilvl w:val="0"/>
          <w:numId w:val="16"/>
        </w:numPr>
        <w:suppressAutoHyphens/>
        <w:jc w:val="both"/>
        <w:rPr>
          <w:rFonts w:ascii="Times New Roman" w:eastAsia="Times New Roman" w:hAnsi="Times New Roman"/>
          <w:b/>
          <w:sz w:val="24"/>
          <w:szCs w:val="24"/>
          <w:lang w:eastAsia="zh-CN"/>
        </w:rPr>
      </w:pPr>
      <w:r w:rsidRPr="00AA4655">
        <w:rPr>
          <w:rFonts w:ascii="Times New Roman" w:eastAsia="Times New Roman" w:hAnsi="Times New Roman"/>
          <w:sz w:val="24"/>
          <w:szCs w:val="24"/>
          <w:lang w:eastAsia="zh-CN"/>
        </w:rPr>
        <w:t xml:space="preserve">Smluvní strana je oprávněna kontrolovat plnění povinností druhé smluvní strany podle této smlouvy a v případě zjištěného neplnění povinnosti žádat, aby strana, která povinnost neplní, zjednala nápravu. </w:t>
      </w:r>
    </w:p>
    <w:p w:rsidR="00865929" w:rsidRPr="00AA4655" w:rsidRDefault="00865929" w:rsidP="00865929">
      <w:pPr>
        <w:suppressAutoHyphens/>
        <w:jc w:val="both"/>
        <w:rPr>
          <w:rFonts w:ascii="Times New Roman" w:eastAsia="Times New Roman" w:hAnsi="Times New Roman"/>
          <w:b/>
          <w:sz w:val="24"/>
          <w:szCs w:val="24"/>
          <w:lang w:eastAsia="zh-CN"/>
        </w:rPr>
      </w:pPr>
    </w:p>
    <w:p w:rsidR="00865929" w:rsidRPr="00AA4655" w:rsidRDefault="00865929" w:rsidP="00865929">
      <w:pPr>
        <w:numPr>
          <w:ilvl w:val="0"/>
          <w:numId w:val="16"/>
        </w:numPr>
        <w:suppressAutoHyphens/>
        <w:jc w:val="both"/>
        <w:rPr>
          <w:rFonts w:ascii="Times New Roman" w:eastAsia="Times New Roman" w:hAnsi="Times New Roman"/>
          <w:b/>
          <w:sz w:val="24"/>
          <w:szCs w:val="24"/>
          <w:lang w:eastAsia="zh-CN"/>
        </w:rPr>
      </w:pPr>
      <w:r w:rsidRPr="00AA4655">
        <w:rPr>
          <w:rFonts w:ascii="Times New Roman" w:eastAsia="Times New Roman" w:hAnsi="Times New Roman"/>
          <w:sz w:val="24"/>
          <w:szCs w:val="24"/>
          <w:lang w:eastAsia="zh-CN"/>
        </w:rPr>
        <w:t>Smluvní strany jsou povinny poskytovat si součinnost související s Akcí, kterou lze na každé z nich na základě této smlouvy spravedlivě požadovat.</w:t>
      </w:r>
    </w:p>
    <w:p w:rsidR="00865929" w:rsidRPr="00AA4655" w:rsidRDefault="00865929" w:rsidP="00865929">
      <w:pPr>
        <w:suppressAutoHyphens/>
        <w:jc w:val="both"/>
        <w:rPr>
          <w:rFonts w:ascii="Times New Roman" w:eastAsia="Times New Roman" w:hAnsi="Times New Roman"/>
          <w:b/>
          <w:sz w:val="24"/>
          <w:szCs w:val="24"/>
          <w:lang w:eastAsia="zh-CN"/>
        </w:rPr>
      </w:pPr>
    </w:p>
    <w:p w:rsidR="00865929" w:rsidRPr="00AA4655" w:rsidRDefault="00865929" w:rsidP="00865929">
      <w:pPr>
        <w:numPr>
          <w:ilvl w:val="0"/>
          <w:numId w:val="16"/>
        </w:numPr>
        <w:suppressAutoHyphens/>
        <w:jc w:val="both"/>
        <w:rPr>
          <w:rFonts w:ascii="Times New Roman" w:eastAsia="Times New Roman" w:hAnsi="Times New Roman"/>
          <w:b/>
          <w:sz w:val="24"/>
          <w:szCs w:val="24"/>
          <w:lang w:eastAsia="zh-CN"/>
        </w:rPr>
      </w:pPr>
      <w:r w:rsidRPr="00AA4655">
        <w:rPr>
          <w:rFonts w:ascii="Times New Roman" w:eastAsia="Times New Roman" w:hAnsi="Times New Roman"/>
          <w:sz w:val="24"/>
          <w:szCs w:val="24"/>
          <w:lang w:eastAsia="zh-CN"/>
        </w:rPr>
        <w:t xml:space="preserve">Smluvní strany jsou povinny neprodleně ústně informovat pověřeného zástupce druhé smluvní strany o všech okolnostech, o kterých je jim známo, že by mohly vést ke vzniku škody, k újmě jedné ze smluvních stran anebo k újmě třetím osobám a písemně takovou informaci předat k rukám statutárního zástupce smluvní strany. </w:t>
      </w:r>
      <w:r w:rsidRPr="00AA4655">
        <w:rPr>
          <w:rFonts w:ascii="Times New Roman" w:eastAsia="Times New Roman" w:hAnsi="Times New Roman"/>
          <w:sz w:val="24"/>
          <w:szCs w:val="24"/>
          <w:shd w:val="clear" w:color="auto" w:fill="FFFF00"/>
          <w:lang w:eastAsia="zh-CN"/>
        </w:rPr>
        <w:t xml:space="preserve"> </w:t>
      </w:r>
    </w:p>
    <w:p w:rsidR="00865929" w:rsidRPr="00AA4655" w:rsidRDefault="00865929" w:rsidP="00865929">
      <w:pPr>
        <w:suppressAutoHyphens/>
        <w:jc w:val="both"/>
        <w:rPr>
          <w:rFonts w:ascii="Times New Roman" w:eastAsia="Times New Roman" w:hAnsi="Times New Roman"/>
          <w:b/>
          <w:sz w:val="24"/>
          <w:szCs w:val="24"/>
          <w:lang w:eastAsia="zh-CN"/>
        </w:rPr>
      </w:pPr>
    </w:p>
    <w:p w:rsidR="00865929" w:rsidRDefault="00865929" w:rsidP="00865929">
      <w:pPr>
        <w:numPr>
          <w:ilvl w:val="0"/>
          <w:numId w:val="16"/>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Každá ze stran je povinna účastnit se na předmětu spolupráce v rozsahu podle této smlouvy a zdržet se jakékoliv činnosti, která by mohla znemožnit nebo ztížit dosažení účelu spolupráce.</w:t>
      </w:r>
    </w:p>
    <w:p w:rsidR="00AA4655" w:rsidRDefault="00AA4655" w:rsidP="00AA4655">
      <w:pPr>
        <w:pStyle w:val="Odstavecseseznamem"/>
        <w:rPr>
          <w:sz w:val="24"/>
          <w:szCs w:val="24"/>
          <w:lang w:eastAsia="zh-CN"/>
        </w:rPr>
      </w:pPr>
    </w:p>
    <w:p w:rsidR="00AA4655" w:rsidRDefault="00AA4655" w:rsidP="00AA4655">
      <w:pPr>
        <w:suppressAutoHyphens/>
        <w:jc w:val="both"/>
        <w:rPr>
          <w:rFonts w:ascii="Times New Roman" w:eastAsia="Times New Roman" w:hAnsi="Times New Roman"/>
          <w:sz w:val="24"/>
          <w:szCs w:val="24"/>
          <w:lang w:eastAsia="zh-CN"/>
        </w:rPr>
      </w:pPr>
    </w:p>
    <w:p w:rsidR="00AA4655" w:rsidRPr="00AA4655" w:rsidRDefault="00AA4655" w:rsidP="00AA4655">
      <w:pPr>
        <w:suppressAutoHyphens/>
        <w:jc w:val="both"/>
        <w:rPr>
          <w:rFonts w:ascii="Times New Roman" w:eastAsia="Times New Roman" w:hAnsi="Times New Roman"/>
          <w:sz w:val="24"/>
          <w:szCs w:val="24"/>
          <w:lang w:eastAsia="zh-CN"/>
        </w:rPr>
      </w:pPr>
    </w:p>
    <w:p w:rsidR="00865929" w:rsidRPr="00AA4655" w:rsidRDefault="00865929" w:rsidP="00865929">
      <w:pPr>
        <w:rPr>
          <w:rFonts w:ascii="Times New Roman" w:eastAsia="Calibri" w:hAnsi="Times New Roman"/>
          <w:sz w:val="24"/>
          <w:szCs w:val="24"/>
          <w:lang w:eastAsia="en-US"/>
        </w:rPr>
      </w:pPr>
    </w:p>
    <w:p w:rsidR="00865929" w:rsidRPr="00AA4655" w:rsidRDefault="00865929" w:rsidP="00865929">
      <w:pPr>
        <w:jc w:val="center"/>
        <w:rPr>
          <w:rFonts w:ascii="Times New Roman" w:eastAsia="Calibri" w:hAnsi="Times New Roman"/>
          <w:sz w:val="24"/>
          <w:szCs w:val="24"/>
          <w:lang w:eastAsia="en-US"/>
        </w:rPr>
      </w:pPr>
      <w:r w:rsidRPr="00AA4655">
        <w:rPr>
          <w:rFonts w:ascii="Times New Roman" w:eastAsia="Calibri" w:hAnsi="Times New Roman"/>
          <w:b/>
          <w:bCs/>
          <w:sz w:val="24"/>
          <w:szCs w:val="24"/>
          <w:lang w:eastAsia="en-US"/>
        </w:rPr>
        <w:lastRenderedPageBreak/>
        <w:t>IV.</w:t>
      </w:r>
    </w:p>
    <w:p w:rsidR="00865929" w:rsidRPr="00AA4655" w:rsidRDefault="00865929" w:rsidP="00865929">
      <w:pPr>
        <w:keepNext/>
        <w:tabs>
          <w:tab w:val="left" w:pos="0"/>
        </w:tabs>
        <w:suppressAutoHyphens/>
        <w:jc w:val="center"/>
        <w:outlineLvl w:val="0"/>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Ukončení smlouvy</w:t>
      </w:r>
    </w:p>
    <w:p w:rsidR="00865929" w:rsidRPr="00AA4655" w:rsidRDefault="00865929" w:rsidP="00865929">
      <w:pPr>
        <w:rPr>
          <w:rFonts w:ascii="Times New Roman" w:eastAsia="Calibri" w:hAnsi="Times New Roman"/>
          <w:sz w:val="24"/>
          <w:szCs w:val="24"/>
          <w:lang w:eastAsia="zh-CN"/>
        </w:rPr>
      </w:pPr>
    </w:p>
    <w:p w:rsidR="00865929" w:rsidRPr="00AA4655" w:rsidRDefault="00865929" w:rsidP="00865929">
      <w:pPr>
        <w:numPr>
          <w:ilvl w:val="0"/>
          <w:numId w:val="17"/>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Smlouva může být ukončena dohodou smluvních stran, výpovědí jedné za smluvních stran, a to i bez udání důvodu nebo odstoupením od smlouvy.</w:t>
      </w:r>
    </w:p>
    <w:p w:rsidR="00865929" w:rsidRPr="00AA4655" w:rsidRDefault="00865929" w:rsidP="00865929">
      <w:pPr>
        <w:suppressAutoHyphens/>
        <w:ind w:left="720"/>
        <w:jc w:val="both"/>
        <w:rPr>
          <w:rFonts w:ascii="Times New Roman" w:eastAsia="Times New Roman" w:hAnsi="Times New Roman"/>
          <w:sz w:val="24"/>
          <w:szCs w:val="24"/>
          <w:lang w:eastAsia="zh-CN"/>
        </w:rPr>
      </w:pPr>
    </w:p>
    <w:p w:rsidR="00865929" w:rsidRPr="00AA4655" w:rsidRDefault="00865929" w:rsidP="00865929">
      <w:pPr>
        <w:numPr>
          <w:ilvl w:val="0"/>
          <w:numId w:val="17"/>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 xml:space="preserve">Od této smlouvy mohou smluvní strany odstoupit pouze v případě podstatného porušení smlouvy. Odstoupení od smlouvy nabývá účinnosti dnem doručení písemného oznámení o odstoupení druhé smluvní straně, v němž musí být uveden popis porušení povinnosti, pro který strana od smlouvy odstupuje. </w:t>
      </w:r>
    </w:p>
    <w:p w:rsidR="00865929" w:rsidRPr="00AA4655" w:rsidRDefault="00865929" w:rsidP="00865929">
      <w:pPr>
        <w:suppressAutoHyphens/>
        <w:ind w:left="720"/>
        <w:jc w:val="both"/>
        <w:rPr>
          <w:rFonts w:ascii="Times New Roman" w:eastAsia="Times New Roman" w:hAnsi="Times New Roman"/>
          <w:sz w:val="24"/>
          <w:szCs w:val="24"/>
          <w:lang w:eastAsia="zh-CN"/>
        </w:rPr>
      </w:pPr>
    </w:p>
    <w:p w:rsidR="00865929" w:rsidRPr="00AA4655" w:rsidRDefault="00865929" w:rsidP="00865929">
      <w:pPr>
        <w:numPr>
          <w:ilvl w:val="0"/>
          <w:numId w:val="17"/>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Za podstatné porušení smlouvy se pokládá zejména nesplnění povinností uvedených v  čl. II této smlouvy, a to ani po písemné výzvě ke sjednání nápravy v dodatečné přiměřené době učiněné druhou smluvní stranou;</w:t>
      </w:r>
    </w:p>
    <w:p w:rsidR="00865929" w:rsidRPr="00AA4655" w:rsidRDefault="00865929" w:rsidP="00865929">
      <w:pPr>
        <w:suppressAutoHyphens/>
        <w:ind w:left="720"/>
        <w:jc w:val="both"/>
        <w:rPr>
          <w:rFonts w:ascii="Times New Roman" w:eastAsia="Times New Roman" w:hAnsi="Times New Roman"/>
          <w:sz w:val="24"/>
          <w:szCs w:val="24"/>
          <w:lang w:eastAsia="zh-CN"/>
        </w:rPr>
      </w:pPr>
    </w:p>
    <w:p w:rsidR="00865929" w:rsidRPr="00AA4655" w:rsidRDefault="00865929" w:rsidP="00865929">
      <w:pPr>
        <w:numPr>
          <w:ilvl w:val="0"/>
          <w:numId w:val="17"/>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Smlouvu lze též ukončit dohodou smluvních stran, a to i bez udání důvodu. Dohoda musí být písemná a podepsána zástupci všech smluvních stran a musí v ní být uveden datum, ke kterému se smlouva ukončuje.</w:t>
      </w:r>
    </w:p>
    <w:p w:rsidR="00865929" w:rsidRPr="00AA4655" w:rsidRDefault="00865929" w:rsidP="00865929">
      <w:pPr>
        <w:rPr>
          <w:rFonts w:ascii="Times New Roman" w:eastAsia="Calibri" w:hAnsi="Times New Roman"/>
          <w:sz w:val="24"/>
          <w:szCs w:val="24"/>
          <w:lang w:eastAsia="en-US"/>
        </w:rPr>
      </w:pPr>
    </w:p>
    <w:p w:rsidR="00865929" w:rsidRPr="00AA4655" w:rsidRDefault="00865929" w:rsidP="00865929">
      <w:pPr>
        <w:keepNext/>
        <w:suppressAutoHyphens/>
        <w:jc w:val="center"/>
        <w:outlineLvl w:val="1"/>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V.</w:t>
      </w:r>
    </w:p>
    <w:p w:rsidR="00865929" w:rsidRPr="00AA4655" w:rsidRDefault="00865929" w:rsidP="00865929">
      <w:pPr>
        <w:keepNext/>
        <w:suppressAutoHyphens/>
        <w:jc w:val="center"/>
        <w:outlineLvl w:val="1"/>
        <w:rPr>
          <w:rFonts w:ascii="Times New Roman" w:eastAsia="Times New Roman" w:hAnsi="Times New Roman"/>
          <w:b/>
          <w:sz w:val="24"/>
          <w:szCs w:val="24"/>
          <w:lang w:eastAsia="zh-CN"/>
        </w:rPr>
      </w:pPr>
      <w:r w:rsidRPr="00AA4655">
        <w:rPr>
          <w:rFonts w:ascii="Times New Roman" w:eastAsia="Times New Roman" w:hAnsi="Times New Roman"/>
          <w:b/>
          <w:sz w:val="24"/>
          <w:szCs w:val="24"/>
          <w:lang w:eastAsia="zh-CN"/>
        </w:rPr>
        <w:t>Závěrečná ustanovení</w:t>
      </w:r>
    </w:p>
    <w:p w:rsidR="00865929" w:rsidRPr="00AA4655" w:rsidRDefault="00865929" w:rsidP="00865929">
      <w:pPr>
        <w:rPr>
          <w:rFonts w:ascii="Times New Roman" w:eastAsia="Calibri" w:hAnsi="Times New Roman"/>
          <w:sz w:val="24"/>
          <w:szCs w:val="24"/>
          <w:lang w:eastAsia="zh-CN"/>
        </w:rPr>
      </w:pPr>
    </w:p>
    <w:p w:rsidR="00865929" w:rsidRPr="00AA4655" w:rsidRDefault="00865929" w:rsidP="00865929">
      <w:pPr>
        <w:numPr>
          <w:ilvl w:val="0"/>
          <w:numId w:val="18"/>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 xml:space="preserve">Smlouva se uzavírá na dobu určitou počínaje dnem účinnosti smlouvy a konče dnem skončení Akce, nejpozději však do 30. 9. 2021. </w:t>
      </w:r>
    </w:p>
    <w:p w:rsidR="00865929" w:rsidRPr="00AA4655" w:rsidRDefault="00865929" w:rsidP="00865929">
      <w:pPr>
        <w:suppressAutoHyphens/>
        <w:ind w:left="720"/>
        <w:jc w:val="both"/>
        <w:rPr>
          <w:rFonts w:ascii="Times New Roman" w:eastAsia="Times New Roman" w:hAnsi="Times New Roman"/>
          <w:sz w:val="24"/>
          <w:szCs w:val="24"/>
          <w:lang w:eastAsia="zh-CN"/>
        </w:rPr>
      </w:pPr>
    </w:p>
    <w:p w:rsidR="00865929" w:rsidRPr="00AA4655" w:rsidRDefault="00865929" w:rsidP="00865929">
      <w:pPr>
        <w:numPr>
          <w:ilvl w:val="0"/>
          <w:numId w:val="18"/>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Ustanovení této smlouvy mohou být měněna pouze formou písemných dodatků k této smlouvě číslovaných nepřerušovanou vzestupnou číselnou řadou a podepsanými zástupci všech smluvních stran.</w:t>
      </w:r>
    </w:p>
    <w:p w:rsidR="00865929" w:rsidRPr="00AA4655" w:rsidRDefault="00865929" w:rsidP="00865929">
      <w:pPr>
        <w:ind w:left="708"/>
        <w:rPr>
          <w:rFonts w:ascii="Times New Roman" w:eastAsia="Calibri" w:hAnsi="Times New Roman"/>
          <w:sz w:val="24"/>
          <w:szCs w:val="24"/>
          <w:lang w:eastAsia="en-US"/>
        </w:rPr>
      </w:pPr>
    </w:p>
    <w:p w:rsidR="00865929" w:rsidRPr="00AA4655" w:rsidRDefault="00865929" w:rsidP="00865929">
      <w:pPr>
        <w:numPr>
          <w:ilvl w:val="0"/>
          <w:numId w:val="18"/>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 xml:space="preserve">Smlouva nabývá účinnosti podpisem zástupců všech smluvních stran. </w:t>
      </w:r>
    </w:p>
    <w:p w:rsidR="00865929" w:rsidRPr="00AA4655" w:rsidRDefault="00865929" w:rsidP="00865929">
      <w:pPr>
        <w:ind w:left="708"/>
        <w:rPr>
          <w:rFonts w:ascii="Times New Roman" w:eastAsia="Calibri" w:hAnsi="Times New Roman"/>
          <w:sz w:val="24"/>
          <w:szCs w:val="24"/>
          <w:lang w:eastAsia="en-US"/>
        </w:rPr>
      </w:pPr>
    </w:p>
    <w:p w:rsidR="00865929" w:rsidRPr="00AA4655" w:rsidRDefault="00865929" w:rsidP="00865929">
      <w:pPr>
        <w:numPr>
          <w:ilvl w:val="0"/>
          <w:numId w:val="18"/>
        </w:numPr>
        <w:suppressAutoHyphens/>
        <w:jc w:val="both"/>
        <w:rPr>
          <w:rFonts w:ascii="Times New Roman" w:eastAsia="Times New Roman" w:hAnsi="Times New Roman"/>
          <w:sz w:val="24"/>
          <w:szCs w:val="24"/>
          <w:lang w:eastAsia="zh-CN"/>
        </w:rPr>
      </w:pPr>
      <w:r w:rsidRPr="00AA4655">
        <w:rPr>
          <w:rFonts w:ascii="Times New Roman" w:eastAsia="Times New Roman" w:hAnsi="Times New Roman"/>
          <w:sz w:val="24"/>
          <w:szCs w:val="24"/>
          <w:lang w:eastAsia="zh-CN"/>
        </w:rPr>
        <w:t xml:space="preserve">Tato smlouva je vyhotovena ve třech stejnopisech, z nichž MČ P4 obdrží po dvou </w:t>
      </w:r>
      <w:r w:rsidRPr="00AA4655">
        <w:rPr>
          <w:rFonts w:ascii="Times New Roman" w:eastAsia="Times New Roman" w:hAnsi="Times New Roman"/>
          <w:sz w:val="24"/>
          <w:szCs w:val="24"/>
          <w:lang w:eastAsia="zh-CN"/>
        </w:rPr>
        <w:br/>
        <w:t>a KCP po jednom stejnopisu.</w:t>
      </w:r>
    </w:p>
    <w:p w:rsidR="00865929" w:rsidRPr="00AA4655" w:rsidRDefault="00865929" w:rsidP="00865929">
      <w:pPr>
        <w:jc w:val="both"/>
        <w:rPr>
          <w:rFonts w:ascii="Times New Roman" w:eastAsia="Calibri" w:hAnsi="Times New Roman"/>
          <w:sz w:val="24"/>
          <w:szCs w:val="24"/>
          <w:lang w:eastAsia="en-US"/>
        </w:rPr>
      </w:pPr>
    </w:p>
    <w:p w:rsidR="00BD4EE6" w:rsidRPr="00AA4655" w:rsidRDefault="00865929" w:rsidP="00865929">
      <w:pPr>
        <w:jc w:val="both"/>
        <w:rPr>
          <w:rFonts w:ascii="Times New Roman" w:hAnsi="Times New Roman"/>
          <w:sz w:val="24"/>
          <w:szCs w:val="24"/>
        </w:rPr>
      </w:pPr>
      <w:r w:rsidRPr="00AA4655">
        <w:rPr>
          <w:rFonts w:ascii="Times New Roman" w:eastAsia="Calibri" w:hAnsi="Times New Roman"/>
          <w:sz w:val="24"/>
          <w:szCs w:val="24"/>
          <w:lang w:eastAsia="en-US"/>
        </w:rPr>
        <w:t>V Praze dne ………………</w:t>
      </w:r>
      <w:r w:rsidRPr="00AA4655">
        <w:rPr>
          <w:rFonts w:ascii="Times New Roman" w:eastAsia="Calibri" w:hAnsi="Times New Roman"/>
          <w:sz w:val="24"/>
          <w:szCs w:val="24"/>
          <w:lang w:eastAsia="en-US"/>
        </w:rPr>
        <w:tab/>
      </w:r>
      <w:r w:rsidRPr="00AA4655">
        <w:rPr>
          <w:rFonts w:ascii="Times New Roman" w:eastAsia="Calibri" w:hAnsi="Times New Roman"/>
          <w:sz w:val="24"/>
          <w:szCs w:val="24"/>
          <w:lang w:eastAsia="en-US"/>
        </w:rPr>
        <w:tab/>
      </w:r>
    </w:p>
    <w:p w:rsidR="00BD4EE6" w:rsidRPr="00AA4655" w:rsidRDefault="00BD4EE6" w:rsidP="00BD4EE6">
      <w:pPr>
        <w:jc w:val="both"/>
        <w:rPr>
          <w:rFonts w:ascii="Times New Roman" w:hAnsi="Times New Roman"/>
          <w:sz w:val="24"/>
          <w:szCs w:val="24"/>
        </w:rPr>
      </w:pPr>
    </w:p>
    <w:p w:rsidR="00610D04" w:rsidRPr="00AA4655" w:rsidRDefault="00610D04" w:rsidP="00BD4EE6">
      <w:pPr>
        <w:jc w:val="both"/>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p w:rsidR="00610D04" w:rsidRPr="00AA4655" w:rsidRDefault="00610D04" w:rsidP="00610D04">
      <w:pPr>
        <w:rPr>
          <w:rFonts w:ascii="Times New Roman" w:hAnsi="Times New Roman"/>
          <w:sz w:val="24"/>
          <w:szCs w:val="24"/>
        </w:rPr>
      </w:pPr>
    </w:p>
    <w:sectPr w:rsidR="00610D04" w:rsidRPr="00AA4655" w:rsidSect="00534DEA">
      <w:footerReference w:type="default" r:id="rId8"/>
      <w:headerReference w:type="first" r:id="rId9"/>
      <w:foot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496B17">
      <w:rPr>
        <w:noProof/>
        <w:snapToGrid w:val="0"/>
      </w:rPr>
      <w:t>3</w:t>
    </w:r>
    <w:r>
      <w:rPr>
        <w:snapToGrid w:val="0"/>
      </w:rPr>
      <w:fldChar w:fldCharType="end"/>
    </w:r>
    <w:r>
      <w:rPr>
        <w:snapToGrid w:val="0"/>
      </w:rPr>
      <w:t xml:space="preserve"> (celkem </w:t>
    </w:r>
    <w:r w:rsidR="00706B6F">
      <w:rPr>
        <w:snapToGrid w:val="0"/>
      </w:rPr>
      <w:t>4</w:t>
    </w:r>
    <w:r>
      <w:rPr>
        <w:snapToGrid w:val="0"/>
      </w:rPr>
      <w:t>)</w:t>
    </w:r>
  </w:p>
  <w:p w:rsidR="00960C0E" w:rsidRDefault="00960C0E">
    <w:pPr>
      <w:pStyle w:val="Zpat"/>
      <w:jc w:val="right"/>
    </w:pPr>
    <w:r>
      <w:t xml:space="preserve">usnesení č. </w:t>
    </w:r>
    <w:r w:rsidR="00610D04">
      <w:t>11</w:t>
    </w:r>
    <w:r>
      <w:t>R-</w:t>
    </w:r>
    <w:r w:rsidR="00706B6F">
      <w:t>373</w:t>
    </w:r>
    <w:r>
      <w:t>/20</w:t>
    </w:r>
    <w:r w:rsidR="008F2112">
      <w:t>2</w:t>
    </w:r>
    <w:r w:rsidR="009A0719">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496B17">
      <w:rPr>
        <w:noProof/>
        <w:snapToGrid w:val="0"/>
      </w:rPr>
      <w:t>1</w:t>
    </w:r>
    <w:r>
      <w:rPr>
        <w:snapToGrid w:val="0"/>
      </w:rPr>
      <w:fldChar w:fldCharType="end"/>
    </w:r>
    <w:r>
      <w:rPr>
        <w:snapToGrid w:val="0"/>
      </w:rPr>
      <w:t xml:space="preserve"> (celkem </w:t>
    </w:r>
    <w:r w:rsidR="00706B6F">
      <w:rPr>
        <w:snapToGrid w:val="0"/>
      </w:rPr>
      <w:t>4</w:t>
    </w:r>
    <w:r>
      <w:rPr>
        <w:snapToGrid w:val="0"/>
      </w:rPr>
      <w:t>)</w:t>
    </w:r>
  </w:p>
  <w:p w:rsidR="00960C0E" w:rsidRDefault="00BE37ED">
    <w:pPr>
      <w:pStyle w:val="Zpat"/>
      <w:jc w:val="right"/>
    </w:pPr>
    <w:r>
      <w:t>usnesení č.</w:t>
    </w:r>
    <w:r w:rsidR="00610D04">
      <w:t>11</w:t>
    </w:r>
    <w:r w:rsidR="005D1B8B">
      <w:t>R-</w:t>
    </w:r>
    <w:r w:rsidR="00706B6F">
      <w:t>373</w:t>
    </w:r>
    <w:r w:rsidR="00960C0E">
      <w:t>/20</w:t>
    </w:r>
    <w:r w:rsidR="008F2112">
      <w:t>2</w:t>
    </w:r>
    <w:r w:rsidR="009A0719">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C23B87"/>
    <w:multiLevelType w:val="hybridMultilevel"/>
    <w:tmpl w:val="E61C4068"/>
    <w:lvl w:ilvl="0" w:tplc="EC04F18A">
      <w:start w:val="1"/>
      <w:numFmt w:val="upperRoman"/>
      <w:lvlText w:val="%1."/>
      <w:lvlJc w:val="left"/>
      <w:pPr>
        <w:ind w:left="2844"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C7465B"/>
    <w:multiLevelType w:val="hybridMultilevel"/>
    <w:tmpl w:val="30C8F714"/>
    <w:lvl w:ilvl="0" w:tplc="026C51B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D03089"/>
    <w:multiLevelType w:val="hybridMultilevel"/>
    <w:tmpl w:val="6FC092AE"/>
    <w:lvl w:ilvl="0" w:tplc="9E3AC6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3354641D"/>
    <w:multiLevelType w:val="hybridMultilevel"/>
    <w:tmpl w:val="6FC092AE"/>
    <w:lvl w:ilvl="0" w:tplc="9E3AC6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58681A"/>
    <w:multiLevelType w:val="hybridMultilevel"/>
    <w:tmpl w:val="F1DAF75C"/>
    <w:lvl w:ilvl="0" w:tplc="0405000F">
      <w:start w:val="1"/>
      <w:numFmt w:val="decimal"/>
      <w:lvlText w:val="%1."/>
      <w:lvlJc w:val="left"/>
      <w:pPr>
        <w:ind w:left="720" w:hanging="360"/>
      </w:pPr>
      <w:rPr>
        <w:rFonts w:hint="default"/>
      </w:rPr>
    </w:lvl>
    <w:lvl w:ilvl="1" w:tplc="7B5289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5"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16410EE"/>
    <w:multiLevelType w:val="hybridMultilevel"/>
    <w:tmpl w:val="FDA090AA"/>
    <w:lvl w:ilvl="0" w:tplc="CB74AA4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313AD4"/>
    <w:multiLevelType w:val="hybridMultilevel"/>
    <w:tmpl w:val="6FC092AE"/>
    <w:lvl w:ilvl="0" w:tplc="9E3AC6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221774"/>
    <w:multiLevelType w:val="hybridMultilevel"/>
    <w:tmpl w:val="36EEDAFE"/>
    <w:lvl w:ilvl="0" w:tplc="AEA459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10"/>
  </w:num>
  <w:num w:numId="5">
    <w:abstractNumId w:val="12"/>
  </w:num>
  <w:num w:numId="6">
    <w:abstractNumId w:val="7"/>
  </w:num>
  <w:num w:numId="7">
    <w:abstractNumId w:val="1"/>
  </w:num>
  <w:num w:numId="8">
    <w:abstractNumId w:val="2"/>
  </w:num>
  <w:num w:numId="9">
    <w:abstractNumId w:val="4"/>
  </w:num>
  <w:num w:numId="10">
    <w:abstractNumId w:val="13"/>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9"/>
  </w:num>
  <w:num w:numId="16">
    <w:abstractNumId w:val="6"/>
  </w:num>
  <w:num w:numId="17">
    <w:abstractNumId w:val="18"/>
  </w:num>
  <w:num w:numId="18">
    <w:abstractNumId w:val="8"/>
  </w:num>
  <w:num w:numId="19">
    <w:abstractNumId w:val="16"/>
  </w:num>
  <w:num w:numId="20">
    <w:abstractNumId w:val="5"/>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460"/>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24E6"/>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96B17"/>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3966"/>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0D04"/>
    <w:rsid w:val="00611096"/>
    <w:rsid w:val="00613DF2"/>
    <w:rsid w:val="00621CC6"/>
    <w:rsid w:val="006222FE"/>
    <w:rsid w:val="00623AA1"/>
    <w:rsid w:val="006243F7"/>
    <w:rsid w:val="00625DBF"/>
    <w:rsid w:val="00626FB5"/>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6B6F"/>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68D"/>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1BF4"/>
    <w:rsid w:val="007C46F8"/>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E6D60"/>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65929"/>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665EE"/>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2AAA"/>
    <w:rsid w:val="00A649B3"/>
    <w:rsid w:val="00A70832"/>
    <w:rsid w:val="00A732E8"/>
    <w:rsid w:val="00A74E79"/>
    <w:rsid w:val="00A77FB1"/>
    <w:rsid w:val="00A815CB"/>
    <w:rsid w:val="00A818FF"/>
    <w:rsid w:val="00A81D51"/>
    <w:rsid w:val="00A82222"/>
    <w:rsid w:val="00A87E04"/>
    <w:rsid w:val="00A91CE4"/>
    <w:rsid w:val="00AA195C"/>
    <w:rsid w:val="00AA2E50"/>
    <w:rsid w:val="00AA4655"/>
    <w:rsid w:val="00AA6A1A"/>
    <w:rsid w:val="00AB6983"/>
    <w:rsid w:val="00AB6E7B"/>
    <w:rsid w:val="00AC09CF"/>
    <w:rsid w:val="00AC4022"/>
    <w:rsid w:val="00AC686D"/>
    <w:rsid w:val="00AD033C"/>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B0E"/>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1D7"/>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0A6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48E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17D11"/>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5"/>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609C-C5BA-4881-BB28-CFE950E5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4693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2009-01-07T08:39:00Z</cp:lastPrinted>
  <dcterms:created xsi:type="dcterms:W3CDTF">2021-06-03T10:49:00Z</dcterms:created>
  <dcterms:modified xsi:type="dcterms:W3CDTF">2021-06-03T10:49:00Z</dcterms:modified>
</cp:coreProperties>
</file>